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checklista-verktygsval-och-användning"/>
    <w:p>
      <w:pPr>
        <w:pStyle w:val="Heading1"/>
      </w:pPr>
      <w:r>
        <w:t xml:space="preserve">Checklista: Verktygsval och användning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hjälper dig säkerställa att projektdata och dokumentation hamnar rätt – i er ägo, inte leverantörens.</w:t>
      </w:r>
    </w:p>
    <w:p>
      <w:pPr>
        <w:pStyle w:val="BodyText"/>
      </w:pPr>
      <w:r>
        <w:t xml:space="preserve">Det viktigaste beslutet:</w:t>
      </w:r>
      <w:r>
        <w:t xml:space="preserve"> </w:t>
      </w:r>
      <w:r>
        <w:rPr>
          <w:bCs/>
          <w:b/>
        </w:rPr>
        <w:t xml:space="preserve">Låt utvecklingsteamet arbeta i kundorganisationens verktygsinstanser från dag ett.</w:t>
      </w:r>
    </w:p>
    <w:p>
      <w:pPr>
        <w:pStyle w:val="BodyText"/>
      </w:pPr>
      <w:r>
        <w:t xml:space="preserve">För fördjupning, se kapitel 2.6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7" w:name="innan-upphandlingen"/>
    <w:p>
      <w:pPr>
        <w:pStyle w:val="Heading2"/>
      </w:pPr>
      <w:r>
        <w:t xml:space="preserve">Innan upphandlingen</w:t>
      </w:r>
    </w:p>
    <w:bookmarkStart w:id="24" w:name="steg-1-inventera-ert-verktygslandskap"/>
    <w:p>
      <w:pPr>
        <w:pStyle w:val="Heading3"/>
      </w:pPr>
      <w:r>
        <w:t xml:space="preserve">Steg 1: Inventera ert verktygslandskap</w:t>
      </w:r>
    </w:p>
    <w:p>
      <w:pPr>
        <w:numPr>
          <w:ilvl w:val="0"/>
          <w:numId w:val="1001"/>
        </w:numPr>
        <w:pStyle w:val="Compact"/>
      </w:pPr>
      <w:r>
        <w:t xml:space="preserve">☐ Vilka verktyg använder ni idag för kravhantering?</w:t>
      </w:r>
    </w:p>
    <w:p>
      <w:pPr>
        <w:numPr>
          <w:ilvl w:val="0"/>
          <w:numId w:val="1001"/>
        </w:numPr>
        <w:pStyle w:val="Compact"/>
      </w:pPr>
      <w:r>
        <w:t xml:space="preserve">☐ Vilka verktyg för projektuppföljning?</w:t>
      </w:r>
    </w:p>
    <w:p>
      <w:pPr>
        <w:numPr>
          <w:ilvl w:val="0"/>
          <w:numId w:val="1001"/>
        </w:numPr>
        <w:pStyle w:val="Compact"/>
      </w:pPr>
      <w:r>
        <w:t xml:space="preserve">☐ Vilka verktyg för dokumentation?</w:t>
      </w:r>
    </w:p>
    <w:p>
      <w:pPr>
        <w:numPr>
          <w:ilvl w:val="0"/>
          <w:numId w:val="1001"/>
        </w:numPr>
        <w:pStyle w:val="Compact"/>
      </w:pPr>
      <w:r>
        <w:t xml:space="preserve">☐ Vilka verktyg använder IT-avdelningen och driftorganisationen?</w:t>
      </w:r>
    </w:p>
    <w:p>
      <w:pPr>
        <w:numPr>
          <w:ilvl w:val="0"/>
          <w:numId w:val="1001"/>
        </w:numPr>
        <w:pStyle w:val="Compact"/>
      </w:pPr>
      <w:r>
        <w:t xml:space="preserve">☐ Vilka integrationer finns redan mellan systemen?</w:t>
      </w:r>
    </w:p>
    <w:p>
      <w:pPr>
        <w:numPr>
          <w:ilvl w:val="0"/>
          <w:numId w:val="1001"/>
        </w:numPr>
        <w:pStyle w:val="Compact"/>
      </w:pPr>
      <w:r>
        <w:t xml:space="preserve">☐ Vilka verktyg är obligatoriska enligt IT-strategin?</w:t>
      </w:r>
    </w:p>
    <w:bookmarkEnd w:id="24"/>
    <w:bookmarkStart w:id="25" w:name="X38aeee94a5c359bdde2f9547a2b682c82f7d36e"/>
    <w:p>
      <w:pPr>
        <w:pStyle w:val="Heading3"/>
      </w:pPr>
      <w:r>
        <w:t xml:space="preserve">Steg 2: Kontrollera regulatorisk efterlevnad för verktyg</w:t>
      </w:r>
    </w:p>
    <w:p>
      <w:pPr>
        <w:numPr>
          <w:ilvl w:val="0"/>
          <w:numId w:val="1002"/>
        </w:numPr>
        <w:pStyle w:val="Compact"/>
      </w:pPr>
      <w:r>
        <w:t xml:space="preserve">☐ Var kommer projektdata att lagras geografiskt?</w:t>
      </w:r>
    </w:p>
    <w:p>
      <w:pPr>
        <w:numPr>
          <w:ilvl w:val="0"/>
          <w:numId w:val="1002"/>
        </w:numPr>
        <w:pStyle w:val="Compact"/>
      </w:pPr>
      <w:r>
        <w:t xml:space="preserve">☐ GDPR och tredjelandsöverföringar kontrollerade?</w:t>
      </w:r>
    </w:p>
    <w:p>
      <w:pPr>
        <w:numPr>
          <w:ilvl w:val="0"/>
          <w:numId w:val="1002"/>
        </w:numPr>
        <w:pStyle w:val="Compact"/>
      </w:pPr>
      <w:r>
        <w:t xml:space="preserve">☐ Amerikanska molntjänster problematiska efter Schrems II?</w:t>
      </w:r>
    </w:p>
    <w:p>
      <w:pPr>
        <w:numPr>
          <w:ilvl w:val="0"/>
          <w:numId w:val="1002"/>
        </w:numPr>
        <w:pStyle w:val="Compact"/>
      </w:pPr>
      <w:r>
        <w:t xml:space="preserve">☐ Godkända alternativ identifierade (EU/EES, länder med adekvat skyddsnivå)?</w:t>
      </w:r>
    </w:p>
    <w:p>
      <w:pPr>
        <w:numPr>
          <w:ilvl w:val="0"/>
          <w:numId w:val="1002"/>
        </w:numPr>
        <w:pStyle w:val="Compact"/>
      </w:pPr>
      <w:r>
        <w:t xml:space="preserve">☐ Branschspecifika krav på datalagring beaktade?</w:t>
      </w:r>
    </w:p>
    <w:p>
      <w:pPr>
        <w:numPr>
          <w:ilvl w:val="0"/>
          <w:numId w:val="1002"/>
        </w:numPr>
        <w:pStyle w:val="Compact"/>
      </w:pPr>
      <w:r>
        <w:t xml:space="preserve">☐ Juridik/regelefterlevnad involverade tidigt i verktygsvalet?</w:t>
      </w:r>
    </w:p>
    <w:bookmarkEnd w:id="25"/>
    <w:bookmarkStart w:id="26" w:name="X0d245e9c9cf223c9ed5ab0b85b6542198c49346"/>
    <w:p>
      <w:pPr>
        <w:pStyle w:val="Heading3"/>
      </w:pPr>
      <w:r>
        <w:t xml:space="preserve">Steg 3: Specificera verktygskrav i upphandlingen</w:t>
      </w:r>
    </w:p>
    <w:p>
      <w:pPr>
        <w:pStyle w:val="FirstParagraph"/>
      </w:pPr>
      <w:r>
        <w:t xml:space="preserve">Inkludera i förfrågningsunderlaget: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All projektdata ska lagras i beställarens verktygsinstanser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Leverantören ska använda beställarens [lista verktyg] för projektarbetet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Vid projektets slut ska all data finnas tillgänglig hos beställaren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Leverantören ansvarar för att sätta upp nödvändiga integrationer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under-projektet"/>
    <w:p>
      <w:pPr>
        <w:pStyle w:val="Heading2"/>
      </w:pPr>
      <w:r>
        <w:t xml:space="preserve">Under projektet</w:t>
      </w:r>
    </w:p>
    <w:bookmarkStart w:id="28" w:name="Xda7edb2bab945877fc08e99f159bbec99e0ff3f"/>
    <w:p>
      <w:pPr>
        <w:pStyle w:val="Heading3"/>
      </w:pPr>
      <w:r>
        <w:t xml:space="preserve">Steg 4: Etablera verktygsrutiner tidigt (första sprinten)</w:t>
      </w:r>
    </w:p>
    <w:p>
      <w:pPr>
        <w:numPr>
          <w:ilvl w:val="0"/>
          <w:numId w:val="1004"/>
        </w:numPr>
        <w:pStyle w:val="Compact"/>
      </w:pPr>
      <w:r>
        <w:t xml:space="preserve">☐ Verifiera att alla arbetar i era system</w:t>
      </w:r>
    </w:p>
    <w:p>
      <w:pPr>
        <w:numPr>
          <w:ilvl w:val="0"/>
          <w:numId w:val="1004"/>
        </w:numPr>
        <w:pStyle w:val="Compact"/>
      </w:pPr>
      <w:r>
        <w:t xml:space="preserve">☐ Säkerställ att ni har administratörsrättigheter</w:t>
      </w:r>
    </w:p>
    <w:p>
      <w:pPr>
        <w:numPr>
          <w:ilvl w:val="0"/>
          <w:numId w:val="1004"/>
        </w:numPr>
        <w:pStyle w:val="Compact"/>
      </w:pPr>
      <w:r>
        <w:t xml:space="preserve">☐ Dokumentera hur data är strukturerad</w:t>
      </w:r>
    </w:p>
    <w:p>
      <w:pPr>
        <w:numPr>
          <w:ilvl w:val="0"/>
          <w:numId w:val="1004"/>
        </w:numPr>
        <w:pStyle w:val="Compact"/>
      </w:pPr>
      <w:r>
        <w:t xml:space="preserve">☐ Skapa rutiner för backup av projektdata</w:t>
      </w:r>
    </w:p>
    <w:bookmarkEnd w:id="28"/>
    <w:bookmarkStart w:id="29" w:name="Xa36a4ac4fc4f8904c8ca52ab59c34e39971b802"/>
    <w:p>
      <w:pPr>
        <w:pStyle w:val="Heading3"/>
      </w:pPr>
      <w:r>
        <w:t xml:space="preserve">Steg 5: Koppla samman krav, test och dokumentation</w:t>
      </w:r>
    </w:p>
    <w:p>
      <w:pPr>
        <w:numPr>
          <w:ilvl w:val="0"/>
          <w:numId w:val="1005"/>
        </w:numPr>
        <w:pStyle w:val="Compact"/>
      </w:pPr>
      <w:r>
        <w:t xml:space="preserve">☐ Varje krav har spårbarhet till tester</w:t>
      </w:r>
    </w:p>
    <w:p>
      <w:pPr>
        <w:numPr>
          <w:ilvl w:val="0"/>
          <w:numId w:val="1005"/>
        </w:numPr>
        <w:pStyle w:val="Compact"/>
      </w:pPr>
      <w:r>
        <w:t xml:space="preserve">☐ Testfall dokumenterade i era system</w:t>
      </w:r>
    </w:p>
    <w:p>
      <w:pPr>
        <w:numPr>
          <w:ilvl w:val="0"/>
          <w:numId w:val="1005"/>
        </w:numPr>
        <w:pStyle w:val="Compact"/>
      </w:pPr>
      <w:r>
        <w:t xml:space="preserve">☐ Testmiljökonfiguration finns i er ägo</w:t>
      </w:r>
    </w:p>
    <w:p>
      <w:pPr>
        <w:numPr>
          <w:ilvl w:val="0"/>
          <w:numId w:val="1005"/>
        </w:numPr>
        <w:pStyle w:val="Compact"/>
      </w:pPr>
      <w:r>
        <w:t xml:space="preserve">☐ Automatiserade tester checkas in i ert repository</w:t>
      </w:r>
    </w:p>
    <w:bookmarkEnd w:id="29"/>
    <w:bookmarkStart w:id="30" w:name="steg-6-granska-dokumentation-löpande"/>
    <w:p>
      <w:pPr>
        <w:pStyle w:val="Heading3"/>
      </w:pPr>
      <w:r>
        <w:t xml:space="preserve">Steg 6: Granska dokumentation löpande</w:t>
      </w:r>
    </w:p>
    <w:p>
      <w:pPr>
        <w:numPr>
          <w:ilvl w:val="0"/>
          <w:numId w:val="1006"/>
        </w:numPr>
        <w:pStyle w:val="Compact"/>
      </w:pPr>
      <w:r>
        <w:t xml:space="preserve">☐ Dokumentationsgranskning inkluderad i varje sprint/milestone</w:t>
      </w:r>
    </w:p>
    <w:p>
      <w:pPr>
        <w:numPr>
          <w:ilvl w:val="0"/>
          <w:numId w:val="1006"/>
        </w:numPr>
        <w:pStyle w:val="Compact"/>
      </w:pPr>
      <w:r>
        <w:t xml:space="preserve">☐ Dokumentation använder rätt format</w:t>
      </w:r>
    </w:p>
    <w:p>
      <w:pPr>
        <w:numPr>
          <w:ilvl w:val="0"/>
          <w:numId w:val="1006"/>
        </w:numPr>
        <w:pStyle w:val="Compact"/>
      </w:pPr>
      <w:r>
        <w:t xml:space="preserve">☐ Dokumentation förståelig för ER organisation, inte bara leverantören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7" w:name="vid-leverans"/>
    <w:p>
      <w:pPr>
        <w:pStyle w:val="Heading2"/>
      </w:pPr>
      <w:r>
        <w:t xml:space="preserve">Vid leverans</w:t>
      </w:r>
    </w:p>
    <w:bookmarkStart w:id="36" w:name="Xc82745a1de565bb271672f18929fe683d116324"/>
    <w:p>
      <w:pPr>
        <w:pStyle w:val="Heading3"/>
      </w:pPr>
      <w:r>
        <w:t xml:space="preserve">Steg 7: Genomför strukturerad leveranskontroll</w:t>
      </w:r>
    </w:p>
    <w:bookmarkStart w:id="32" w:name="verktygsdata"/>
    <w:p>
      <w:pPr>
        <w:pStyle w:val="Heading4"/>
      </w:pPr>
      <w:r>
        <w:t xml:space="preserve">Verktygsdata</w:t>
      </w:r>
    </w:p>
    <w:p>
      <w:pPr>
        <w:numPr>
          <w:ilvl w:val="0"/>
          <w:numId w:val="1007"/>
        </w:numPr>
        <w:pStyle w:val="Compact"/>
      </w:pPr>
      <w:r>
        <w:t xml:space="preserve">☐ All projektdata finns i era system</w:t>
      </w:r>
    </w:p>
    <w:p>
      <w:pPr>
        <w:numPr>
          <w:ilvl w:val="0"/>
          <w:numId w:val="1007"/>
        </w:numPr>
        <w:pStyle w:val="Compact"/>
      </w:pPr>
      <w:r>
        <w:t xml:space="preserve">☐ Historik är bevarad och sökbar</w:t>
      </w:r>
    </w:p>
    <w:p>
      <w:pPr>
        <w:numPr>
          <w:ilvl w:val="0"/>
          <w:numId w:val="1007"/>
        </w:numPr>
        <w:pStyle w:val="Compact"/>
      </w:pPr>
      <w:r>
        <w:t xml:space="preserve">☐ Integrationer är dokumenterade</w:t>
      </w:r>
    </w:p>
    <w:p>
      <w:pPr>
        <w:numPr>
          <w:ilvl w:val="0"/>
          <w:numId w:val="1007"/>
        </w:numPr>
        <w:pStyle w:val="Compact"/>
      </w:pPr>
      <w:r>
        <w:t xml:space="preserve">☐ Administratörsrättigheter är överförda</w:t>
      </w:r>
    </w:p>
    <w:bookmarkEnd w:id="32"/>
    <w:bookmarkStart w:id="33" w:name="dokumentation"/>
    <w:p>
      <w:pPr>
        <w:pStyle w:val="Heading4"/>
      </w:pPr>
      <w:r>
        <w:t xml:space="preserve">Dokumentation</w:t>
      </w:r>
    </w:p>
    <w:p>
      <w:pPr>
        <w:numPr>
          <w:ilvl w:val="0"/>
          <w:numId w:val="1008"/>
        </w:numPr>
        <w:pStyle w:val="Compact"/>
      </w:pPr>
      <w:r>
        <w:t xml:space="preserve">☐ Arkitekturdokumentation i rätt format</w:t>
      </w:r>
    </w:p>
    <w:p>
      <w:pPr>
        <w:numPr>
          <w:ilvl w:val="0"/>
          <w:numId w:val="1008"/>
        </w:numPr>
        <w:pStyle w:val="Compact"/>
      </w:pPr>
      <w:r>
        <w:t xml:space="preserve">☐ Driftdokumentation anpassad för er organisation</w:t>
      </w:r>
    </w:p>
    <w:p>
      <w:pPr>
        <w:numPr>
          <w:ilvl w:val="0"/>
          <w:numId w:val="1008"/>
        </w:numPr>
        <w:pStyle w:val="Compact"/>
      </w:pPr>
      <w:r>
        <w:t xml:space="preserve">☐ Säkerhetsdokumentation inklusive hotmodeller</w:t>
      </w:r>
    </w:p>
    <w:p>
      <w:pPr>
        <w:numPr>
          <w:ilvl w:val="0"/>
          <w:numId w:val="1008"/>
        </w:numPr>
        <w:pStyle w:val="Compact"/>
      </w:pPr>
      <w:r>
        <w:t xml:space="preserve">☐ Utvecklardokumentation för framtida förvaltning</w:t>
      </w:r>
    </w:p>
    <w:bookmarkEnd w:id="33"/>
    <w:bookmarkStart w:id="34" w:name="testleverabler"/>
    <w:p>
      <w:pPr>
        <w:pStyle w:val="Heading4"/>
      </w:pPr>
      <w:r>
        <w:t xml:space="preserve">Testleverabler</w:t>
      </w:r>
    </w:p>
    <w:p>
      <w:pPr>
        <w:numPr>
          <w:ilvl w:val="0"/>
          <w:numId w:val="1009"/>
        </w:numPr>
        <w:pStyle w:val="Compact"/>
      </w:pPr>
      <w:r>
        <w:t xml:space="preserve">☐ Dokumentation av testmiljöernas konfiguration</w:t>
      </w:r>
    </w:p>
    <w:p>
      <w:pPr>
        <w:numPr>
          <w:ilvl w:val="0"/>
          <w:numId w:val="1009"/>
        </w:numPr>
        <w:pStyle w:val="Compact"/>
      </w:pPr>
      <w:r>
        <w:t xml:space="preserve">☐ Skript för att återskapa testmiljöer</w:t>
      </w:r>
    </w:p>
    <w:p>
      <w:pPr>
        <w:numPr>
          <w:ilvl w:val="0"/>
          <w:numId w:val="1009"/>
        </w:numPr>
        <w:pStyle w:val="Compact"/>
      </w:pPr>
      <w:r>
        <w:t xml:space="preserve">☐ Verktyg för att generera testdata</w:t>
      </w:r>
    </w:p>
    <w:p>
      <w:pPr>
        <w:numPr>
          <w:ilvl w:val="0"/>
          <w:numId w:val="1009"/>
        </w:numPr>
        <w:pStyle w:val="Compact"/>
      </w:pPr>
      <w:r>
        <w:t xml:space="preserve">☐ Källkod till alla automatiserade tester</w:t>
      </w:r>
    </w:p>
    <w:p>
      <w:pPr>
        <w:numPr>
          <w:ilvl w:val="0"/>
          <w:numId w:val="1009"/>
        </w:numPr>
        <w:pStyle w:val="Compact"/>
      </w:pPr>
      <w:r>
        <w:t xml:space="preserve">☐ Dokumenterade testfall för olika testnivåer</w:t>
      </w:r>
    </w:p>
    <w:p>
      <w:pPr>
        <w:numPr>
          <w:ilvl w:val="0"/>
          <w:numId w:val="1009"/>
        </w:numPr>
        <w:pStyle w:val="Compact"/>
      </w:pPr>
      <w:r>
        <w:t xml:space="preserve">☐ CI/CD-pipelines i er miljö</w:t>
      </w:r>
    </w:p>
    <w:bookmarkEnd w:id="34"/>
    <w:bookmarkStart w:id="35" w:name="kunskapsöverföring"/>
    <w:p>
      <w:pPr>
        <w:pStyle w:val="Heading4"/>
      </w:pPr>
      <w:r>
        <w:t xml:space="preserve">Kunskapsöverföring</w:t>
      </w:r>
    </w:p>
    <w:p>
      <w:pPr>
        <w:numPr>
          <w:ilvl w:val="0"/>
          <w:numId w:val="1010"/>
        </w:numPr>
        <w:pStyle w:val="Compact"/>
      </w:pPr>
      <w:r>
        <w:t xml:space="preserve">☐ Utbildning av er personal genomförd</w:t>
      </w:r>
    </w:p>
    <w:p>
      <w:pPr>
        <w:numPr>
          <w:ilvl w:val="0"/>
          <w:numId w:val="1010"/>
        </w:numPr>
        <w:pStyle w:val="Compact"/>
      </w:pPr>
      <w:r>
        <w:t xml:space="preserve">☐ Handover-sessions dokumenterade</w:t>
      </w:r>
    </w:p>
    <w:p>
      <w:pPr>
        <w:numPr>
          <w:ilvl w:val="0"/>
          <w:numId w:val="1010"/>
        </w:numPr>
        <w:pStyle w:val="Compact"/>
      </w:pPr>
      <w:r>
        <w:t xml:space="preserve">☐ Kontaktvägar för framtida frågor etablerade</w:t>
      </w:r>
    </w:p>
    <w:p>
      <w:r>
        <w:pict>
          <v:rect style="width:0;height:1.5pt" o:hralign="center" o:hrstd="t" o:hr="t"/>
        </w:pict>
      </w:r>
    </w:p>
    <w:bookmarkEnd w:id="35"/>
    <w:bookmarkEnd w:id="36"/>
    <w:bookmarkEnd w:id="37"/>
    <w:bookmarkStart w:id="38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2.6 (Testbarhet) och Del 1 (Förutsättningar).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2026-01-27T14:47:41Z</dcterms:created>
  <dcterms:modified xsi:type="dcterms:W3CDTF">2026-01-27T14:47:41Z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