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3" w:name="checklista-regulatorisk-kartläggning"/>
    <w:p>
      <w:pPr>
        <w:pStyle w:val="Heading1"/>
      </w:pPr>
      <w:r>
        <w:t xml:space="preserve">Checklista: Regulatorisk kartläggning</w:t>
      </w:r>
    </w:p>
    <w:p>
      <w:pPr>
        <w:pStyle w:val="FirstParagraph"/>
      </w:pPr>
      <w:r>
        <w:rPr>
          <w:bCs/>
          <w:b/>
        </w:rPr>
        <w:t xml:space="preserve">Version 1.0</w:t>
      </w:r>
    </w:p>
    <w:p>
      <w:pPr>
        <w:pStyle w:val="BlockText"/>
      </w:pPr>
      <w:r>
        <w:rPr>
          <w:bCs/>
          <w:b/>
        </w:rPr>
        <w:t xml:space="preserve">Licens:</w:t>
      </w:r>
      <w:r>
        <w:t xml:space="preserve"> </w:t>
      </w:r>
      <w:hyperlink r:id="rId20">
        <w:r>
          <w:rPr>
            <w:rStyle w:val="Hyperlink"/>
          </w:rPr>
          <w:t xml:space="preserve">CC-BY 4.0</w:t>
        </w:r>
      </w:hyperlink>
      <w:r>
        <w:br/>
      </w:r>
      <w:r>
        <w:t xml:space="preserve">Fritt att använda, anpassa och dela – även kommersiellt – med attribution till Anders M Olausson.</w:t>
      </w:r>
      <w:r>
        <w:br/>
      </w:r>
      <w:r>
        <w:t xml:space="preserve">Från boken</w:t>
      </w:r>
      <w:r>
        <w:t xml:space="preserve"> </w:t>
      </w:r>
      <w:r>
        <w:rPr>
          <w:iCs/>
          <w:i/>
        </w:rPr>
        <w:t xml:space="preserve">Kvalitetstårtan – En handbok för hållbara system</w:t>
      </w:r>
      <w:r>
        <w:t xml:space="preserve"> </w:t>
      </w:r>
      <w:r>
        <w:t xml:space="preserve">–</w:t>
      </w:r>
      <w:r>
        <w:t xml:space="preserve"> </w:t>
      </w:r>
      <w:hyperlink r:id="rId21">
        <w:r>
          <w:rPr>
            <w:rStyle w:val="Hyperlink"/>
          </w:rPr>
          <w:t xml:space="preserve">andersmolausson.se</w:t>
        </w:r>
      </w:hyperlink>
    </w:p>
    <w:p>
      <w:pPr>
        <w:pStyle w:val="BlockText"/>
      </w:pPr>
      <w:r>
        <w:rPr>
          <w:bCs/>
          <w:b/>
        </w:rPr>
        <w:t xml:space="preserve">Feedback?</w:t>
      </w:r>
      <w:r>
        <w:t xml:space="preserve"> </w:t>
      </w:r>
      <w:r>
        <w:t xml:space="preserve">Saknas något? Är något fel? Mejla</w:t>
      </w:r>
      <w:r>
        <w:t xml:space="preserve"> </w:t>
      </w:r>
      <w:hyperlink r:id="rId22">
        <w:r>
          <w:rPr>
            <w:rStyle w:val="Hyperlink"/>
          </w:rPr>
          <w:t xml:space="preserve">checklistor@andersmolausson.se</w:t>
        </w:r>
      </w:hyperlink>
    </w:p>
    <w:p>
      <w:r>
        <w:pict>
          <v:rect style="width:0;height:1.5pt" o:hralign="center" o:hrstd="t" o:hr="t"/>
        </w:pict>
      </w:r>
    </w:p>
    <w:bookmarkStart w:id="23" w:name="om-denna-checklista"/>
    <w:p>
      <w:pPr>
        <w:pStyle w:val="Heading2"/>
      </w:pPr>
      <w:r>
        <w:t xml:space="preserve">Om denna checklista</w:t>
      </w:r>
    </w:p>
    <w:p>
      <w:pPr>
        <w:pStyle w:val="FirstParagraph"/>
      </w:pPr>
      <w:r>
        <w:rPr>
          <w:bCs/>
          <w:b/>
        </w:rPr>
        <w:t xml:space="preserve">Detta är en startpunkt, inte en komplett lista.</w:t>
      </w:r>
    </w:p>
    <w:p>
      <w:pPr>
        <w:pStyle w:val="BodyText"/>
      </w:pPr>
      <w:r>
        <w:t xml:space="preserve">Denna checklista hjälper dig systematiskt kartlägga vilka lagar och regler som gäller för ditt IT-system. Använd den i projektets tidiga faser och uppdatera regelbundet när förutsättningarna ändras.</w:t>
      </w:r>
    </w:p>
    <w:p>
      <w:pPr>
        <w:pStyle w:val="BodyText"/>
      </w:pPr>
      <w:r>
        <w:rPr>
          <w:bCs/>
          <w:b/>
        </w:rPr>
        <w:t xml:space="preserve">Kom ihåg:</w:t>
      </w:r>
      <w:r>
        <w:t xml:space="preserve"> </w:t>
      </w:r>
      <w:r>
        <w:t xml:space="preserve">Konsultera alltid juridisk expertis vid osäkerhet. Ni kan outsourca drift men aldrig ansvar – ni är alltid ytterst ansvariga för regelefterlevnad.</w:t>
      </w:r>
    </w:p>
    <w:p>
      <w:pPr>
        <w:pStyle w:val="BodyText"/>
      </w:pPr>
      <w:r>
        <w:t xml:space="preserve">För fördjupning, se kapitel 2.5 i</w:t>
      </w:r>
      <w:r>
        <w:t xml:space="preserve"> </w:t>
      </w:r>
      <w:r>
        <w:rPr>
          <w:iCs/>
          <w:i/>
        </w:rPr>
        <w:t xml:space="preserve">Kvalitetstårtan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23"/>
    <w:bookmarkStart w:id="27" w:name="X76425ba897c1daeeea9bb46ef10bac2534ca63d"/>
    <w:p>
      <w:pPr>
        <w:pStyle w:val="Heading2"/>
      </w:pPr>
      <w:r>
        <w:t xml:space="preserve">Steg 1: Universella krav (gäller nästan alltid)</w:t>
      </w:r>
    </w:p>
    <w:bookmarkStart w:id="24" w:name="personuppgiftshantering"/>
    <w:p>
      <w:pPr>
        <w:pStyle w:val="Heading3"/>
      </w:pPr>
      <w:r>
        <w:t xml:space="preserve">Personuppgiftshantering</w:t>
      </w:r>
    </w:p>
    <w:p>
      <w:pPr>
        <w:numPr>
          <w:ilvl w:val="0"/>
          <w:numId w:val="1001"/>
        </w:numPr>
        <w:pStyle w:val="Compact"/>
      </w:pPr>
      <w:r>
        <w:t xml:space="preserve">☐ Hanterar systemet personuppgifter? (namn, adress, e-post, IP-adresser, cookies)</w:t>
      </w:r>
    </w:p>
    <w:p>
      <w:pPr>
        <w:numPr>
          <w:ilvl w:val="0"/>
          <w:numId w:val="1001"/>
        </w:numPr>
        <w:pStyle w:val="Compact"/>
      </w:pPr>
      <w:r>
        <w:t xml:space="preserve">☐ GDPR tillämpligt?</w:t>
      </w:r>
    </w:p>
    <w:p>
      <w:pPr>
        <w:numPr>
          <w:ilvl w:val="0"/>
          <w:numId w:val="1001"/>
        </w:numPr>
        <w:pStyle w:val="Compact"/>
      </w:pPr>
      <w:r>
        <w:t xml:space="preserve">☐ ePrivacy-direktivet tillämpligt?</w:t>
      </w:r>
    </w:p>
    <w:p>
      <w:pPr>
        <w:numPr>
          <w:ilvl w:val="0"/>
          <w:numId w:val="1001"/>
        </w:numPr>
        <w:pStyle w:val="Compact"/>
      </w:pPr>
      <w:r>
        <w:t xml:space="preserve">☐ Nationella implementeringar (Kamerabevakningslagen, etc.)?</w:t>
      </w:r>
    </w:p>
    <w:bookmarkEnd w:id="24"/>
    <w:bookmarkStart w:id="25" w:name="grundläggande-säkerhet"/>
    <w:p>
      <w:pPr>
        <w:pStyle w:val="Heading3"/>
      </w:pPr>
      <w:r>
        <w:t xml:space="preserve">Grundläggande säkerhet</w:t>
      </w:r>
    </w:p>
    <w:p>
      <w:pPr>
        <w:numPr>
          <w:ilvl w:val="0"/>
          <w:numId w:val="1002"/>
        </w:numPr>
        <w:pStyle w:val="Compact"/>
      </w:pPr>
      <w:r>
        <w:t xml:space="preserve">☐ Brottsbalken (dataintrång, olovlig avlyssning)</w:t>
      </w:r>
    </w:p>
    <w:p>
      <w:pPr>
        <w:numPr>
          <w:ilvl w:val="0"/>
          <w:numId w:val="1002"/>
        </w:numPr>
        <w:pStyle w:val="Compact"/>
      </w:pPr>
      <w:r>
        <w:t xml:space="preserve">☐ Lagen om företagshemligheter</w:t>
      </w:r>
    </w:p>
    <w:bookmarkEnd w:id="25"/>
    <w:bookmarkStart w:id="26" w:name="upphovsrätt"/>
    <w:p>
      <w:pPr>
        <w:pStyle w:val="Heading3"/>
      </w:pPr>
      <w:r>
        <w:t xml:space="preserve">Upphovsrätt</w:t>
      </w:r>
    </w:p>
    <w:p>
      <w:pPr>
        <w:numPr>
          <w:ilvl w:val="0"/>
          <w:numId w:val="1003"/>
        </w:numPr>
        <w:pStyle w:val="Compact"/>
      </w:pPr>
      <w:r>
        <w:t xml:space="preserve">☐ Använder systemet andras material?</w:t>
      </w:r>
    </w:p>
    <w:p>
      <w:pPr>
        <w:numPr>
          <w:ilvl w:val="0"/>
          <w:numId w:val="1003"/>
        </w:numPr>
        <w:pStyle w:val="Compact"/>
      </w:pPr>
      <w:r>
        <w:t xml:space="preserve">☐ Finns varumärkesfrågor att beakta?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31" w:name="steg-2-verksamhetsbaserade-krav"/>
    <w:p>
      <w:pPr>
        <w:pStyle w:val="Heading2"/>
      </w:pPr>
      <w:r>
        <w:t xml:space="preserve">Steg 2: Verksamhetsbaserade krav</w:t>
      </w:r>
    </w:p>
    <w:bookmarkStart w:id="28" w:name="storlek-och-kritikalitet"/>
    <w:p>
      <w:pPr>
        <w:pStyle w:val="Heading3"/>
      </w:pPr>
      <w:r>
        <w:t xml:space="preserve">Storlek och kritikalitet</w:t>
      </w:r>
    </w:p>
    <w:p>
      <w:pPr>
        <w:numPr>
          <w:ilvl w:val="0"/>
          <w:numId w:val="1004"/>
        </w:numPr>
        <w:pStyle w:val="Compact"/>
      </w:pPr>
      <w:r>
        <w:t xml:space="preserve">☐ Över 50 anställda inom energi/transport/hälsa/finans/digital infrastruktur? → Cybersäkerhetslagen</w:t>
      </w:r>
    </w:p>
    <w:p>
      <w:pPr>
        <w:numPr>
          <w:ilvl w:val="0"/>
          <w:numId w:val="1004"/>
        </w:numPr>
        <w:pStyle w:val="Compact"/>
      </w:pPr>
      <w:r>
        <w:t xml:space="preserve">☐ Hanterar säkerhetskänslig verksamhet? → Säkerhetsskyddslagen</w:t>
      </w:r>
    </w:p>
    <w:p>
      <w:pPr>
        <w:numPr>
          <w:ilvl w:val="0"/>
          <w:numId w:val="1004"/>
        </w:numPr>
        <w:pStyle w:val="Compact"/>
      </w:pPr>
      <w:r>
        <w:t xml:space="preserve">☐ Stort företag (&gt;250 anställda eller &gt;50M€ omsättning)? → CSRD</w:t>
      </w:r>
    </w:p>
    <w:bookmarkEnd w:id="28"/>
    <w:bookmarkStart w:id="29" w:name="offentlig-sektor"/>
    <w:p>
      <w:pPr>
        <w:pStyle w:val="Heading3"/>
      </w:pPr>
      <w:r>
        <w:t xml:space="preserve">Offentlig sektor</w:t>
      </w:r>
    </w:p>
    <w:p>
      <w:pPr>
        <w:numPr>
          <w:ilvl w:val="0"/>
          <w:numId w:val="1005"/>
        </w:numPr>
        <w:pStyle w:val="Compact"/>
      </w:pPr>
      <w:r>
        <w:t xml:space="preserve">☐ Offentlighetsprincipen (TF/YGL)</w:t>
      </w:r>
    </w:p>
    <w:p>
      <w:pPr>
        <w:numPr>
          <w:ilvl w:val="0"/>
          <w:numId w:val="1005"/>
        </w:numPr>
        <w:pStyle w:val="Compact"/>
      </w:pPr>
      <w:r>
        <w:t xml:space="preserve">☐ Förvaltningslagen</w:t>
      </w:r>
    </w:p>
    <w:p>
      <w:pPr>
        <w:numPr>
          <w:ilvl w:val="0"/>
          <w:numId w:val="1005"/>
        </w:numPr>
        <w:pStyle w:val="Compact"/>
      </w:pPr>
      <w:r>
        <w:t xml:space="preserve">☐ Arkivlagen</w:t>
      </w:r>
    </w:p>
    <w:p>
      <w:pPr>
        <w:numPr>
          <w:ilvl w:val="0"/>
          <w:numId w:val="1005"/>
        </w:numPr>
        <w:pStyle w:val="Compact"/>
      </w:pPr>
      <w:r>
        <w:t xml:space="preserve">☐ DOS-lagen (tillgänglighet)</w:t>
      </w:r>
    </w:p>
    <w:p>
      <w:pPr>
        <w:numPr>
          <w:ilvl w:val="0"/>
          <w:numId w:val="1005"/>
        </w:numPr>
        <w:pStyle w:val="Compact"/>
      </w:pPr>
      <w:r>
        <w:t xml:space="preserve">☐ PSI-lagen (öppen data)</w:t>
      </w:r>
    </w:p>
    <w:bookmarkEnd w:id="29"/>
    <w:bookmarkStart w:id="30" w:name="privat-sektor"/>
    <w:p>
      <w:pPr>
        <w:pStyle w:val="Heading3"/>
      </w:pPr>
      <w:r>
        <w:t xml:space="preserve">Privat sektor</w:t>
      </w:r>
    </w:p>
    <w:p>
      <w:pPr>
        <w:numPr>
          <w:ilvl w:val="0"/>
          <w:numId w:val="1006"/>
        </w:numPr>
        <w:pStyle w:val="Compact"/>
      </w:pPr>
      <w:r>
        <w:t xml:space="preserve">☐ Bokföringslagen (system som hanterar bokföring, 7 års lagring)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6" w:name="steg-3-funktionsbaserade-krav"/>
    <w:p>
      <w:pPr>
        <w:pStyle w:val="Heading2"/>
      </w:pPr>
      <w:r>
        <w:t xml:space="preserve">Steg 3: Funktionsbaserade krav</w:t>
      </w:r>
    </w:p>
    <w:bookmarkStart w:id="32" w:name="ai-och-automatisering"/>
    <w:p>
      <w:pPr>
        <w:pStyle w:val="Heading3"/>
      </w:pPr>
      <w:r>
        <w:t xml:space="preserve">AI och automatisering</w:t>
      </w:r>
    </w:p>
    <w:p>
      <w:pPr>
        <w:numPr>
          <w:ilvl w:val="0"/>
          <w:numId w:val="1007"/>
        </w:numPr>
        <w:pStyle w:val="Compact"/>
      </w:pPr>
      <w:r>
        <w:t xml:space="preserve">☐ Använder systemet AI eller automatiserat beslutsfattande? → AI Act</w:t>
      </w:r>
    </w:p>
    <w:bookmarkEnd w:id="32"/>
    <w:bookmarkStart w:id="33" w:name="betalningar-och-e-handel"/>
    <w:p>
      <w:pPr>
        <w:pStyle w:val="Heading3"/>
      </w:pPr>
      <w:r>
        <w:t xml:space="preserve">Betalningar och e-handel</w:t>
      </w:r>
    </w:p>
    <w:p>
      <w:pPr>
        <w:numPr>
          <w:ilvl w:val="0"/>
          <w:numId w:val="1008"/>
        </w:numPr>
        <w:pStyle w:val="Compact"/>
      </w:pPr>
      <w:r>
        <w:t xml:space="preserve">☐ PSD2 (betaltjänster)</w:t>
      </w:r>
    </w:p>
    <w:p>
      <w:pPr>
        <w:numPr>
          <w:ilvl w:val="0"/>
          <w:numId w:val="1008"/>
        </w:numPr>
        <w:pStyle w:val="Compact"/>
      </w:pPr>
      <w:r>
        <w:t xml:space="preserve">☐ Konsumentköplagen</w:t>
      </w:r>
    </w:p>
    <w:p>
      <w:pPr>
        <w:numPr>
          <w:ilvl w:val="0"/>
          <w:numId w:val="1008"/>
        </w:numPr>
        <w:pStyle w:val="Compact"/>
      </w:pPr>
      <w:r>
        <w:t xml:space="preserve">☐ Distansavtalslagen</w:t>
      </w:r>
    </w:p>
    <w:p>
      <w:pPr>
        <w:numPr>
          <w:ilvl w:val="0"/>
          <w:numId w:val="1008"/>
        </w:numPr>
        <w:pStyle w:val="Compact"/>
      </w:pPr>
      <w:r>
        <w:t xml:space="preserve">☐ E-handelslagen</w:t>
      </w:r>
    </w:p>
    <w:bookmarkEnd w:id="33"/>
    <w:bookmarkStart w:id="34" w:name="kommunikation"/>
    <w:p>
      <w:pPr>
        <w:pStyle w:val="Heading3"/>
      </w:pPr>
      <w:r>
        <w:t xml:space="preserve">Kommunikation</w:t>
      </w:r>
    </w:p>
    <w:p>
      <w:pPr>
        <w:numPr>
          <w:ilvl w:val="0"/>
          <w:numId w:val="1009"/>
        </w:numPr>
        <w:pStyle w:val="Compact"/>
      </w:pPr>
      <w:r>
        <w:t xml:space="preserve">☐ LEK (Lagen om elektronisk kommunikation)</w:t>
      </w:r>
    </w:p>
    <w:p>
      <w:pPr>
        <w:numPr>
          <w:ilvl w:val="0"/>
          <w:numId w:val="1009"/>
        </w:numPr>
        <w:pStyle w:val="Compact"/>
      </w:pPr>
      <w:r>
        <w:t xml:space="preserve">☐ Marknadsföringslagen</w:t>
      </w:r>
    </w:p>
    <w:bookmarkEnd w:id="34"/>
    <w:bookmarkStart w:id="35" w:name="tillgänglighet"/>
    <w:p>
      <w:pPr>
        <w:pStyle w:val="Heading3"/>
      </w:pPr>
      <w:r>
        <w:t xml:space="preserve">Tillgänglighet</w:t>
      </w:r>
    </w:p>
    <w:p>
      <w:pPr>
        <w:numPr>
          <w:ilvl w:val="0"/>
          <w:numId w:val="1010"/>
        </w:numPr>
        <w:pStyle w:val="Compact"/>
      </w:pPr>
      <w:r>
        <w:t xml:space="preserve">☐ DOS-lagen (offentlig sektor)</w:t>
      </w:r>
    </w:p>
    <w:p>
      <w:pPr>
        <w:numPr>
          <w:ilvl w:val="0"/>
          <w:numId w:val="1010"/>
        </w:numPr>
        <w:pStyle w:val="Compact"/>
      </w:pPr>
      <w:r>
        <w:t xml:space="preserve">☐ Tillgänglighetslagen / EAA (privat sektor, från 2025)</w:t>
      </w:r>
    </w:p>
    <w:p>
      <w:r>
        <w:pict>
          <v:rect style="width:0;height:1.5pt" o:hralign="center" o:hrstd="t" o:hr="t"/>
        </w:pict>
      </w:r>
    </w:p>
    <w:bookmarkEnd w:id="35"/>
    <w:bookmarkEnd w:id="36"/>
    <w:bookmarkStart w:id="41" w:name="steg-4-branschspecifika-krav"/>
    <w:p>
      <w:pPr>
        <w:pStyle w:val="Heading2"/>
      </w:pPr>
      <w:r>
        <w:t xml:space="preserve">Steg 4: Branschspecifika krav</w:t>
      </w:r>
    </w:p>
    <w:bookmarkStart w:id="37" w:name="finans"/>
    <w:p>
      <w:pPr>
        <w:pStyle w:val="Heading3"/>
      </w:pPr>
      <w:r>
        <w:t xml:space="preserve">Finans</w:t>
      </w:r>
    </w:p>
    <w:p>
      <w:pPr>
        <w:numPr>
          <w:ilvl w:val="0"/>
          <w:numId w:val="1011"/>
        </w:numPr>
        <w:pStyle w:val="Compact"/>
      </w:pPr>
      <w:r>
        <w:t xml:space="preserve">☐ DORA (operativ resiliens)</w:t>
      </w:r>
    </w:p>
    <w:p>
      <w:pPr>
        <w:numPr>
          <w:ilvl w:val="0"/>
          <w:numId w:val="1011"/>
        </w:numPr>
        <w:pStyle w:val="Compact"/>
      </w:pPr>
      <w:r>
        <w:t xml:space="preserve">☐ MiFID II (värdepappershandel)</w:t>
      </w:r>
    </w:p>
    <w:p>
      <w:pPr>
        <w:numPr>
          <w:ilvl w:val="0"/>
          <w:numId w:val="1011"/>
        </w:numPr>
        <w:pStyle w:val="Compact"/>
      </w:pPr>
      <w:r>
        <w:t xml:space="preserve">☐ MAR (marknadsmissbruk)</w:t>
      </w:r>
    </w:p>
    <w:p>
      <w:pPr>
        <w:numPr>
          <w:ilvl w:val="0"/>
          <w:numId w:val="1011"/>
        </w:numPr>
        <w:pStyle w:val="Compact"/>
      </w:pPr>
      <w:r>
        <w:t xml:space="preserve">☐ Basel III/IV (kapitaltäckning)</w:t>
      </w:r>
    </w:p>
    <w:bookmarkEnd w:id="37"/>
    <w:bookmarkStart w:id="38" w:name="hälso--och-sjukvård"/>
    <w:p>
      <w:pPr>
        <w:pStyle w:val="Heading3"/>
      </w:pPr>
      <w:r>
        <w:t xml:space="preserve">Hälso- och sjukvård</w:t>
      </w:r>
    </w:p>
    <w:p>
      <w:pPr>
        <w:numPr>
          <w:ilvl w:val="0"/>
          <w:numId w:val="1012"/>
        </w:numPr>
        <w:pStyle w:val="Compact"/>
      </w:pPr>
      <w:r>
        <w:t xml:space="preserve">☐ Patientdatalagen</w:t>
      </w:r>
    </w:p>
    <w:p>
      <w:pPr>
        <w:numPr>
          <w:ilvl w:val="0"/>
          <w:numId w:val="1012"/>
        </w:numPr>
        <w:pStyle w:val="Compact"/>
      </w:pPr>
      <w:r>
        <w:t xml:space="preserve">☐ MDR/IVDR (medicintekniska produkter)</w:t>
      </w:r>
    </w:p>
    <w:p>
      <w:pPr>
        <w:numPr>
          <w:ilvl w:val="0"/>
          <w:numId w:val="1012"/>
        </w:numPr>
        <w:pStyle w:val="Compact"/>
      </w:pPr>
      <w:r>
        <w:t xml:space="preserve">☐ Läkemedelslagen</w:t>
      </w:r>
    </w:p>
    <w:p>
      <w:pPr>
        <w:numPr>
          <w:ilvl w:val="0"/>
          <w:numId w:val="1012"/>
        </w:numPr>
        <w:pStyle w:val="Compact"/>
      </w:pPr>
      <w:r>
        <w:t xml:space="preserve">☐ Hälso- och sjukvårdslagen</w:t>
      </w:r>
    </w:p>
    <w:bookmarkEnd w:id="38"/>
    <w:bookmarkStart w:id="39" w:name="transport"/>
    <w:p>
      <w:pPr>
        <w:pStyle w:val="Heading3"/>
      </w:pPr>
      <w:r>
        <w:t xml:space="preserve">Transport</w:t>
      </w:r>
    </w:p>
    <w:p>
      <w:pPr>
        <w:numPr>
          <w:ilvl w:val="0"/>
          <w:numId w:val="1013"/>
        </w:numPr>
        <w:pStyle w:val="Compact"/>
      </w:pPr>
      <w:r>
        <w:t xml:space="preserve">☐ Fordonslagen</w:t>
      </w:r>
    </w:p>
    <w:p>
      <w:pPr>
        <w:numPr>
          <w:ilvl w:val="0"/>
          <w:numId w:val="1013"/>
        </w:numPr>
        <w:pStyle w:val="Compact"/>
      </w:pPr>
      <w:r>
        <w:t xml:space="preserve">☐ UN R155/R156 (cybersäkerhet i fordon)</w:t>
      </w:r>
    </w:p>
    <w:p>
      <w:pPr>
        <w:numPr>
          <w:ilvl w:val="0"/>
          <w:numId w:val="1013"/>
        </w:numPr>
        <w:pStyle w:val="Compact"/>
      </w:pPr>
      <w:r>
        <w:t xml:space="preserve">☐ ISO 26262 (funktionssäkerhet)</w:t>
      </w:r>
    </w:p>
    <w:bookmarkEnd w:id="39"/>
    <w:bookmarkStart w:id="40" w:name="energi"/>
    <w:p>
      <w:pPr>
        <w:pStyle w:val="Heading3"/>
      </w:pPr>
      <w:r>
        <w:t xml:space="preserve">Energi</w:t>
      </w:r>
    </w:p>
    <w:p>
      <w:pPr>
        <w:numPr>
          <w:ilvl w:val="0"/>
          <w:numId w:val="1014"/>
        </w:numPr>
        <w:pStyle w:val="Compact"/>
      </w:pPr>
      <w:r>
        <w:t xml:space="preserve">☐ Ellagen</w:t>
      </w:r>
    </w:p>
    <w:p>
      <w:pPr>
        <w:numPr>
          <w:ilvl w:val="0"/>
          <w:numId w:val="1014"/>
        </w:numPr>
        <w:pStyle w:val="Compact"/>
      </w:pPr>
      <w:r>
        <w:t xml:space="preserve">☐ Miljöbalken</w:t>
      </w:r>
    </w:p>
    <w:p>
      <w:pPr>
        <w:numPr>
          <w:ilvl w:val="0"/>
          <w:numId w:val="1014"/>
        </w:numPr>
        <w:pStyle w:val="Compact"/>
      </w:pPr>
      <w:r>
        <w:t xml:space="preserve">☐ Cybersäkerhetslagen (alltid för energisektorn)</w:t>
      </w:r>
    </w:p>
    <w:p>
      <w:r>
        <w:pict>
          <v:rect style="width:0;height:1.5pt" o:hralign="center" o:hrstd="t" o:hr="t"/>
        </w:pict>
      </w:r>
    </w:p>
    <w:bookmarkEnd w:id="40"/>
    <w:bookmarkEnd w:id="41"/>
    <w:bookmarkStart w:id="42" w:name="steg-5-produkter-och-tjänster"/>
    <w:p>
      <w:pPr>
        <w:pStyle w:val="Heading2"/>
      </w:pPr>
      <w:r>
        <w:t xml:space="preserve">Steg 5: Produkter och tjänster</w:t>
      </w:r>
    </w:p>
    <w:p>
      <w:pPr>
        <w:numPr>
          <w:ilvl w:val="0"/>
          <w:numId w:val="1015"/>
        </w:numPr>
        <w:pStyle w:val="Compact"/>
      </w:pPr>
      <w:r>
        <w:t xml:space="preserve">☐ Säljer ni produkter inom EU? → Produktsäkerhetslagen, CE-märkning</w:t>
      </w:r>
    </w:p>
    <w:p>
      <w:pPr>
        <w:numPr>
          <w:ilvl w:val="0"/>
          <w:numId w:val="1015"/>
        </w:numPr>
        <w:pStyle w:val="Compact"/>
      </w:pPr>
      <w:r>
        <w:t xml:space="preserve">☐ Utvecklar ni IoT/uppkopplade produkter? → CRA (Cyber Resilience Act)</w:t>
      </w:r>
    </w:p>
    <w:p>
      <w:pPr>
        <w:numPr>
          <w:ilvl w:val="0"/>
          <w:numId w:val="1015"/>
        </w:numPr>
        <w:pStyle w:val="Compact"/>
      </w:pPr>
      <w:r>
        <w:t xml:space="preserve">☐ Har ni konsumenter som kunder? → Konsumentskyddslagstiftning</w:t>
      </w:r>
    </w:p>
    <w:p>
      <w:r>
        <w:pict>
          <v:rect style="width:0;height:1.5pt" o:hralign="center" o:hrstd="t" o:hr="t"/>
        </w:pict>
      </w:r>
    </w:p>
    <w:bookmarkEnd w:id="42"/>
    <w:bookmarkStart w:id="46" w:name="steg-6-leverantörskedjan"/>
    <w:p>
      <w:pPr>
        <w:pStyle w:val="Heading2"/>
      </w:pPr>
      <w:r>
        <w:t xml:space="preserve">Steg 6: Leverantörskedjan</w:t>
      </w:r>
    </w:p>
    <w:p>
      <w:pPr>
        <w:pStyle w:val="FirstParagraph"/>
      </w:pPr>
      <w:r>
        <w:rPr>
          <w:bCs/>
          <w:b/>
        </w:rPr>
        <w:t xml:space="preserve">KRITISKT:</w:t>
      </w:r>
      <w:r>
        <w:t xml:space="preserve"> </w:t>
      </w:r>
      <w:r>
        <w:t xml:space="preserve">Alla identifierade krav gäller även för era leverantörer!</w:t>
      </w:r>
    </w:p>
    <w:bookmarkStart w:id="43" w:name="underleverantörer-och-partners"/>
    <w:p>
      <w:pPr>
        <w:pStyle w:val="Heading3"/>
      </w:pPr>
      <w:r>
        <w:t xml:space="preserve">Underleverantörer och partners</w:t>
      </w:r>
    </w:p>
    <w:p>
      <w:pPr>
        <w:numPr>
          <w:ilvl w:val="0"/>
          <w:numId w:val="1016"/>
        </w:numPr>
        <w:pStyle w:val="Compact"/>
      </w:pPr>
      <w:r>
        <w:t xml:space="preserve">☐ Utvecklingspartners med tillgång till kod/data?</w:t>
      </w:r>
    </w:p>
    <w:p>
      <w:pPr>
        <w:numPr>
          <w:ilvl w:val="0"/>
          <w:numId w:val="1016"/>
        </w:numPr>
        <w:pStyle w:val="Compact"/>
      </w:pPr>
      <w:r>
        <w:t xml:space="preserve">☐ Konsulter som arbetar i systemet?</w:t>
      </w:r>
    </w:p>
    <w:p>
      <w:pPr>
        <w:numPr>
          <w:ilvl w:val="0"/>
          <w:numId w:val="1016"/>
        </w:numPr>
        <w:pStyle w:val="Compact"/>
      </w:pPr>
      <w:r>
        <w:t xml:space="preserve">☐ Offshore-utveckling? → Kontrollera dataöverföring till tredje land (GDPR)</w:t>
      </w:r>
    </w:p>
    <w:bookmarkEnd w:id="43"/>
    <w:bookmarkStart w:id="44" w:name="molntjänster-och-infrastruktur"/>
    <w:p>
      <w:pPr>
        <w:pStyle w:val="Heading3"/>
      </w:pPr>
      <w:r>
        <w:t xml:space="preserve">Molntjänster och infrastruktur</w:t>
      </w:r>
    </w:p>
    <w:p>
      <w:pPr>
        <w:numPr>
          <w:ilvl w:val="0"/>
          <w:numId w:val="1017"/>
        </w:numPr>
        <w:pStyle w:val="Compact"/>
      </w:pPr>
      <w:r>
        <w:t xml:space="preserve">☐ AWS/Azure/Google Cloud? → Var lagras data fysiskt?</w:t>
      </w:r>
    </w:p>
    <w:p>
      <w:pPr>
        <w:numPr>
          <w:ilvl w:val="0"/>
          <w:numId w:val="1017"/>
        </w:numPr>
        <w:pStyle w:val="Compact"/>
      </w:pPr>
      <w:r>
        <w:t xml:space="preserve">☐ Backup-lösningar? → Geografisk placering och åtkomst?</w:t>
      </w:r>
    </w:p>
    <w:p>
      <w:pPr>
        <w:numPr>
          <w:ilvl w:val="0"/>
          <w:numId w:val="1017"/>
        </w:numPr>
        <w:pStyle w:val="Compact"/>
      </w:pPr>
      <w:r>
        <w:t xml:space="preserve">☐ CDN/Edge-tjänster? → Databehandling i flera jurisdiktioner?</w:t>
      </w:r>
    </w:p>
    <w:bookmarkEnd w:id="44"/>
    <w:bookmarkStart w:id="45" w:name="checklista-för-varje-leverantör"/>
    <w:p>
      <w:pPr>
        <w:pStyle w:val="Heading3"/>
      </w:pPr>
      <w:r>
        <w:t xml:space="preserve">Checklista för varje leverantör</w:t>
      </w:r>
    </w:p>
    <w:p>
      <w:pPr>
        <w:numPr>
          <w:ilvl w:val="0"/>
          <w:numId w:val="1018"/>
        </w:numPr>
        <w:pStyle w:val="Compact"/>
      </w:pPr>
      <w:r>
        <w:t xml:space="preserve">☐ Vilken data delar vi med dem?</w:t>
      </w:r>
    </w:p>
    <w:p>
      <w:pPr>
        <w:numPr>
          <w:ilvl w:val="0"/>
          <w:numId w:val="1018"/>
        </w:numPr>
        <w:pStyle w:val="Compact"/>
      </w:pPr>
      <w:r>
        <w:t xml:space="preserve">☐ Var behandlas/lagras datan geografiskt?</w:t>
      </w:r>
    </w:p>
    <w:p>
      <w:pPr>
        <w:numPr>
          <w:ilvl w:val="0"/>
          <w:numId w:val="1018"/>
        </w:numPr>
        <w:pStyle w:val="Compact"/>
      </w:pPr>
      <w:r>
        <w:t xml:space="preserve">☐ Har de nödvändiga certifieringar? (ISO 27001, SOC 2)</w:t>
      </w:r>
    </w:p>
    <w:p>
      <w:pPr>
        <w:numPr>
          <w:ilvl w:val="0"/>
          <w:numId w:val="1018"/>
        </w:numPr>
        <w:pStyle w:val="Compact"/>
      </w:pPr>
      <w:r>
        <w:t xml:space="preserve">☐ Finns databehandlingsavtal (DPA)?</w:t>
      </w:r>
    </w:p>
    <w:p>
      <w:pPr>
        <w:numPr>
          <w:ilvl w:val="0"/>
          <w:numId w:val="1018"/>
        </w:numPr>
        <w:pStyle w:val="Compact"/>
      </w:pPr>
      <w:r>
        <w:t xml:space="preserve">☐ Vad händer vid deras säkerhetsincident?</w:t>
      </w:r>
    </w:p>
    <w:p>
      <w:pPr>
        <w:numPr>
          <w:ilvl w:val="0"/>
          <w:numId w:val="1018"/>
        </w:numPr>
        <w:pStyle w:val="Compact"/>
      </w:pPr>
      <w:r>
        <w:t xml:space="preserve">☐ Kan vi audita dem?</w:t>
      </w:r>
    </w:p>
    <w:p>
      <w:pPr>
        <w:numPr>
          <w:ilvl w:val="0"/>
          <w:numId w:val="1018"/>
        </w:numPr>
        <w:pStyle w:val="Compact"/>
      </w:pPr>
      <w:r>
        <w:t xml:space="preserve">☐ Uppfyller de VÅRA regulatoriska krav?</w:t>
      </w:r>
    </w:p>
    <w:p>
      <w:r>
        <w:pict>
          <v:rect style="width:0;height:1.5pt" o:hralign="center" o:hrstd="t" o:hr="t"/>
        </w:pict>
      </w:r>
    </w:p>
    <w:bookmarkEnd w:id="45"/>
    <w:bookmarkEnd w:id="46"/>
    <w:bookmarkStart w:id="47" w:name="varningssignaler"/>
    <w:p>
      <w:pPr>
        <w:pStyle w:val="Heading2"/>
      </w:pPr>
      <w:r>
        <w:t xml:space="preserve">Varningssignaler</w:t>
      </w:r>
    </w:p>
    <w:p>
      <w:pPr>
        <w:numPr>
          <w:ilvl w:val="0"/>
          <w:numId w:val="1019"/>
        </w:numPr>
        <w:pStyle w:val="Compact"/>
      </w:pPr>
      <w:r>
        <w:t xml:space="preserve">☐</w:t>
      </w:r>
      <w:r>
        <w:t xml:space="preserve"> </w:t>
      </w:r>
      <w:r>
        <w:t xml:space="preserve">“</w:t>
      </w:r>
      <w:r>
        <w:t xml:space="preserve">Vi säljer bara till…</w:t>
      </w:r>
      <w:r>
        <w:t xml:space="preserve">”</w:t>
      </w:r>
      <w:r>
        <w:t xml:space="preserve"> </w:t>
      </w:r>
      <w:r>
        <w:t xml:space="preserve">→ Kontrollera att begränsningar fungerar tekniskt</w:t>
      </w:r>
    </w:p>
    <w:p>
      <w:pPr>
        <w:numPr>
          <w:ilvl w:val="0"/>
          <w:numId w:val="1019"/>
        </w:numPr>
        <w:pStyle w:val="Compact"/>
      </w:pPr>
      <w:r>
        <w:t xml:space="preserve">☐</w:t>
      </w:r>
      <w:r>
        <w:t xml:space="preserve"> </w:t>
      </w:r>
      <w:r>
        <w:t xml:space="preserve">“</w:t>
      </w:r>
      <w:r>
        <w:t xml:space="preserve">Det är bara en intern app</w:t>
      </w:r>
      <w:r>
        <w:t xml:space="preserve">”</w:t>
      </w:r>
      <w:r>
        <w:t xml:space="preserve"> </w:t>
      </w:r>
      <w:r>
        <w:t xml:space="preserve">→ Arbetsmiljölagen gäller ändå</w:t>
      </w:r>
    </w:p>
    <w:p>
      <w:pPr>
        <w:numPr>
          <w:ilvl w:val="0"/>
          <w:numId w:val="1019"/>
        </w:numPr>
        <w:pStyle w:val="Compact"/>
      </w:pPr>
      <w:r>
        <w:t xml:space="preserve">☐</w:t>
      </w:r>
      <w:r>
        <w:t xml:space="preserve"> </w:t>
      </w:r>
      <w:r>
        <w:t xml:space="preserve">“</w:t>
      </w:r>
      <w:r>
        <w:t xml:space="preserve">Vi använder standardavtal</w:t>
      </w:r>
      <w:r>
        <w:t xml:space="preserve">”</w:t>
      </w:r>
      <w:r>
        <w:t xml:space="preserve"> </w:t>
      </w:r>
      <w:r>
        <w:t xml:space="preserve">→ Kolla att de täcker regelverken</w:t>
      </w:r>
    </w:p>
    <w:p>
      <w:pPr>
        <w:numPr>
          <w:ilvl w:val="0"/>
          <w:numId w:val="1019"/>
        </w:numPr>
        <w:pStyle w:val="Compact"/>
      </w:pPr>
      <w:r>
        <w:t xml:space="preserve">☐</w:t>
      </w:r>
      <w:r>
        <w:t xml:space="preserve"> </w:t>
      </w:r>
      <w:r>
        <w:t xml:space="preserve">“</w:t>
      </w:r>
      <w:r>
        <w:t xml:space="preserve">AI:n fattar inga beslut</w:t>
      </w:r>
      <w:r>
        <w:t xml:space="preserve">”</w:t>
      </w:r>
      <w:r>
        <w:t xml:space="preserve"> </w:t>
      </w:r>
      <w:r>
        <w:t xml:space="preserve">→ Rekommendationer kan också vara reglerade</w:t>
      </w:r>
    </w:p>
    <w:p>
      <w:pPr>
        <w:numPr>
          <w:ilvl w:val="0"/>
          <w:numId w:val="1019"/>
        </w:numPr>
        <w:pStyle w:val="Compact"/>
      </w:pPr>
      <w:r>
        <w:t xml:space="preserve">☐</w:t>
      </w:r>
      <w:r>
        <w:t xml:space="preserve"> </w:t>
      </w:r>
      <w:r>
        <w:t xml:space="preserve">“</w:t>
      </w:r>
      <w:r>
        <w:t xml:space="preserve">Vi är för små för att…</w:t>
      </w:r>
      <w:r>
        <w:t xml:space="preserve">”</w:t>
      </w:r>
      <w:r>
        <w:t xml:space="preserve"> </w:t>
      </w:r>
      <w:r>
        <w:t xml:space="preserve">→ Storleksgränser sänks ofta över tid</w:t>
      </w:r>
    </w:p>
    <w:p>
      <w:pPr>
        <w:numPr>
          <w:ilvl w:val="0"/>
          <w:numId w:val="1019"/>
        </w:numPr>
        <w:pStyle w:val="Compact"/>
      </w:pPr>
      <w:r>
        <w:t xml:space="preserve">☐</w:t>
      </w:r>
      <w:r>
        <w:t xml:space="preserve"> </w:t>
      </w:r>
      <w:r>
        <w:t xml:space="preserve">“</w:t>
      </w:r>
      <w:r>
        <w:t xml:space="preserve">Det är leverantörens ansvar</w:t>
      </w:r>
      <w:r>
        <w:t xml:space="preserve">”</w:t>
      </w:r>
      <w:r>
        <w:t xml:space="preserve"> </w:t>
      </w:r>
      <w:r>
        <w:t xml:space="preserve">→ NEJ, ni har fortfarande ansvar</w:t>
      </w:r>
    </w:p>
    <w:p>
      <w:pPr>
        <w:numPr>
          <w:ilvl w:val="0"/>
          <w:numId w:val="1019"/>
        </w:numPr>
        <w:pStyle w:val="Compact"/>
      </w:pPr>
      <w:r>
        <w:t xml:space="preserve">☐</w:t>
      </w:r>
      <w:r>
        <w:t xml:space="preserve"> </w:t>
      </w:r>
      <w:r>
        <w:t xml:space="preserve">“</w:t>
      </w:r>
      <w:r>
        <w:t xml:space="preserve">De är ISO-certifierade</w:t>
      </w:r>
      <w:r>
        <w:t xml:space="preserve">”</w:t>
      </w:r>
      <w:r>
        <w:t xml:space="preserve"> </w:t>
      </w:r>
      <w:r>
        <w:t xml:space="preserve">→ Räcker det för ERA specifika krav?</w:t>
      </w:r>
    </w:p>
    <w:p>
      <w:pPr>
        <w:numPr>
          <w:ilvl w:val="0"/>
          <w:numId w:val="1019"/>
        </w:numPr>
        <w:pStyle w:val="Compact"/>
      </w:pPr>
      <w:r>
        <w:t xml:space="preserve">☐</w:t>
      </w:r>
      <w:r>
        <w:t xml:space="preserve"> </w:t>
      </w:r>
      <w:r>
        <w:t xml:space="preserve">“</w:t>
      </w:r>
      <w:r>
        <w:t xml:space="preserve">Data ligger i EU</w:t>
      </w:r>
      <w:r>
        <w:t xml:space="preserve">”</w:t>
      </w:r>
      <w:r>
        <w:t xml:space="preserve"> </w:t>
      </w:r>
      <w:r>
        <w:t xml:space="preserve">→ Men var finns backup? Support-åtkomst?</w:t>
      </w:r>
    </w:p>
    <w:p>
      <w:r>
        <w:pict>
          <v:rect style="width:0;height:1.5pt" o:hralign="center" o:hrstd="t" o:hr="t"/>
        </w:pict>
      </w:r>
    </w:p>
    <w:bookmarkEnd w:id="47"/>
    <w:bookmarkStart w:id="51" w:name="nästa-steg"/>
    <w:p>
      <w:pPr>
        <w:pStyle w:val="Heading2"/>
      </w:pPr>
      <w:r>
        <w:t xml:space="preserve">Nästa steg</w:t>
      </w:r>
    </w:p>
    <w:bookmarkStart w:id="48" w:name="omedelbart-inom-1-vecka"/>
    <w:p>
      <w:pPr>
        <w:pStyle w:val="Heading3"/>
      </w:pPr>
      <w:r>
        <w:t xml:space="preserve">Omedelbart (inom 1 vecka)</w:t>
      </w:r>
    </w:p>
    <w:p>
      <w:pPr>
        <w:numPr>
          <w:ilvl w:val="0"/>
          <w:numId w:val="1020"/>
        </w:numPr>
        <w:pStyle w:val="Compact"/>
      </w:pPr>
      <w:r>
        <w:t xml:space="preserve">☐ Genomför denna kartläggning med hela teamet</w:t>
      </w:r>
    </w:p>
    <w:p>
      <w:pPr>
        <w:numPr>
          <w:ilvl w:val="0"/>
          <w:numId w:val="1020"/>
        </w:numPr>
        <w:pStyle w:val="Compact"/>
      </w:pPr>
      <w:r>
        <w:t xml:space="preserve">☐ Dokumentera alla identifierade krav i regelverksmatris</w:t>
      </w:r>
    </w:p>
    <w:p>
      <w:pPr>
        <w:numPr>
          <w:ilvl w:val="0"/>
          <w:numId w:val="1020"/>
        </w:numPr>
        <w:pStyle w:val="Compact"/>
      </w:pPr>
      <w:r>
        <w:t xml:space="preserve">☐ Identifiera kritiska gap som kräver omedelbar åtgärd</w:t>
      </w:r>
    </w:p>
    <w:bookmarkEnd w:id="48"/>
    <w:bookmarkStart w:id="49" w:name="kort-sikt-inom-1-månad"/>
    <w:p>
      <w:pPr>
        <w:pStyle w:val="Heading3"/>
      </w:pPr>
      <w:r>
        <w:t xml:space="preserve">Kort sikt (inom 1 månad)</w:t>
      </w:r>
    </w:p>
    <w:p>
      <w:pPr>
        <w:numPr>
          <w:ilvl w:val="0"/>
          <w:numId w:val="1021"/>
        </w:numPr>
        <w:pStyle w:val="Compact"/>
      </w:pPr>
      <w:r>
        <w:t xml:space="preserve">☐ Engagera juridisk expertis för tvetydiga områden</w:t>
      </w:r>
    </w:p>
    <w:p>
      <w:pPr>
        <w:numPr>
          <w:ilvl w:val="0"/>
          <w:numId w:val="1021"/>
        </w:numPr>
        <w:pStyle w:val="Compact"/>
      </w:pPr>
      <w:r>
        <w:t xml:space="preserve">☐ Granska alla leverantörsavtal</w:t>
      </w:r>
    </w:p>
    <w:p>
      <w:pPr>
        <w:numPr>
          <w:ilvl w:val="0"/>
          <w:numId w:val="1021"/>
        </w:numPr>
        <w:pStyle w:val="Compact"/>
      </w:pPr>
      <w:r>
        <w:t xml:space="preserve">☐ Påbörja implementation av kritiska regelefterlevnadskrav</w:t>
      </w:r>
    </w:p>
    <w:bookmarkEnd w:id="49"/>
    <w:bookmarkStart w:id="50" w:name="kontinuerligt"/>
    <w:p>
      <w:pPr>
        <w:pStyle w:val="Heading3"/>
      </w:pPr>
      <w:r>
        <w:t xml:space="preserve">Kontinuerligt</w:t>
      </w:r>
    </w:p>
    <w:p>
      <w:pPr>
        <w:numPr>
          <w:ilvl w:val="0"/>
          <w:numId w:val="1022"/>
        </w:numPr>
        <w:pStyle w:val="Compact"/>
      </w:pPr>
      <w:r>
        <w:t xml:space="preserve">☐ Schemalägg kvartalsvis översyn av regelverksmatrisen</w:t>
      </w:r>
    </w:p>
    <w:p>
      <w:pPr>
        <w:numPr>
          <w:ilvl w:val="0"/>
          <w:numId w:val="1022"/>
        </w:numPr>
        <w:pStyle w:val="Compact"/>
      </w:pPr>
      <w:r>
        <w:t xml:space="preserve">☐ Bevaka nya och kommande regelverk</w:t>
      </w:r>
    </w:p>
    <w:p>
      <w:pPr>
        <w:numPr>
          <w:ilvl w:val="0"/>
          <w:numId w:val="1022"/>
        </w:numPr>
        <w:pStyle w:val="Compact"/>
      </w:pPr>
      <w:r>
        <w:t xml:space="preserve">☐ Uppdatera vid nya funktioner, marknader eller leverantörer</w:t>
      </w:r>
    </w:p>
    <w:p>
      <w:r>
        <w:pict>
          <v:rect style="width:0;height:1.5pt" o:hralign="center" o:hrstd="t" o:hr="t"/>
        </w:pict>
      </w:r>
    </w:p>
    <w:bookmarkEnd w:id="50"/>
    <w:bookmarkEnd w:id="51"/>
    <w:bookmarkStart w:id="52" w:name="saknas-något"/>
    <w:p>
      <w:pPr>
        <w:pStyle w:val="Heading2"/>
      </w:pPr>
      <w:r>
        <w:t xml:space="preserve">Saknas något?</w:t>
      </w:r>
    </w:p>
    <w:p>
      <w:pPr>
        <w:pStyle w:val="FirstParagraph"/>
      </w:pPr>
      <w:r>
        <w:t xml:space="preserve">Denna checklista täcker inte allt. Om du upptäcker att något viktigt saknas för just ditt projekt – lägg till det.</w:t>
      </w:r>
    </w:p>
    <w:p>
      <w:pPr>
        <w:pStyle w:val="BodyText"/>
      </w:pPr>
      <w:r>
        <w:t xml:space="preserve">För mer kontext och fördjupning, se</w:t>
      </w:r>
      <w:r>
        <w:t xml:space="preserve"> </w:t>
      </w:r>
      <w:r>
        <w:rPr>
          <w:iCs/>
          <w:i/>
        </w:rPr>
        <w:t xml:space="preserve">Kvalitetstårtan</w:t>
      </w:r>
      <w:r>
        <w:t xml:space="preserve"> </w:t>
      </w:r>
      <w:r>
        <w:t xml:space="preserve">kapitel 2.5 (Regulatoriska krav).</w:t>
      </w:r>
    </w:p>
    <w:bookmarkEnd w:id="52"/>
    <w:bookmarkEnd w:id="5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andersmolausson.se" TargetMode="External" /><Relationship Type="http://schemas.openxmlformats.org/officeDocument/2006/relationships/hyperlink" Id="rId20" Target="https://creativecommons.org/licenses/by/4.0/deed.sv" TargetMode="External" /><Relationship Type="http://schemas.openxmlformats.org/officeDocument/2006/relationships/hyperlink" Id="rId22" Target="mailto:checklistor@andersmolausson.s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andersmolausson.se" TargetMode="External" /><Relationship Type="http://schemas.openxmlformats.org/officeDocument/2006/relationships/hyperlink" Id="rId20" Target="https://creativecommons.org/licenses/by/4.0/deed.sv" TargetMode="External" /><Relationship Type="http://schemas.openxmlformats.org/officeDocument/2006/relationships/hyperlink" Id="rId22" Target="mailto:checklistor@andersmolausson.s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2026-01-27T14:47:41Z</dcterms:created>
  <dcterms:modified xsi:type="dcterms:W3CDTF">2026-01-27T14:47:41Z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