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e82190c7a723bf1da78925b49310004a2c2a9ef"/>
    <w:p>
      <w:pPr>
        <w:pStyle w:val="Heading1"/>
      </w:pPr>
      <w:r>
        <w:t xml:space="preserve">Checklista: Leverantörskrav – Regulatoriska krav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förmåga att förstå och implementera regulatoriska krav.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2.5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regulatorisk-kartläggning-och-analys"/>
    <w:p>
      <w:pPr>
        <w:pStyle w:val="Heading2"/>
      </w:pPr>
      <w:r>
        <w:t xml:space="preserve">Regulatorisk kartläggning och analys</w:t>
      </w:r>
    </w:p>
    <w:p>
      <w:pPr>
        <w:pStyle w:val="FirstParagraph"/>
      </w:pPr>
      <w:r>
        <w:t xml:space="preserve">Att missa ett tillämpligt regelverk kan få katastrofala konsekvenser. Ett system byggt utan hänsyn till GDPR kan kosta fyra procent av omsättningen i böter.</w:t>
      </w:r>
    </w:p>
    <w:p>
      <w:pPr>
        <w:numPr>
          <w:ilvl w:val="0"/>
          <w:numId w:val="1001"/>
        </w:numPr>
        <w:pStyle w:val="Compact"/>
      </w:pPr>
      <w:r>
        <w:t xml:space="preserve">☐ Dokumenterad erfarenhet av att identifiera tillämpliga lagar och förordningar</w:t>
      </w:r>
    </w:p>
    <w:p>
      <w:pPr>
        <w:numPr>
          <w:ilvl w:val="0"/>
          <w:numId w:val="1001"/>
        </w:numPr>
        <w:pStyle w:val="Compact"/>
      </w:pPr>
      <w:r>
        <w:t xml:space="preserve">☐ Förmåga att analysera hur regelverk påverkar systemdesign och arkitektur</w:t>
      </w:r>
    </w:p>
    <w:p>
      <w:pPr>
        <w:numPr>
          <w:ilvl w:val="0"/>
          <w:numId w:val="1001"/>
        </w:numPr>
        <w:pStyle w:val="Compact"/>
      </w:pPr>
      <w:r>
        <w:t xml:space="preserve">☐ Kunskap om skillnader mellan olika jurisdiktioner (EU, USA, Sverige)</w:t>
      </w:r>
    </w:p>
    <w:p>
      <w:pPr>
        <w:numPr>
          <w:ilvl w:val="0"/>
          <w:numId w:val="1001"/>
        </w:numPr>
        <w:pStyle w:val="Compact"/>
      </w:pPr>
      <w:r>
        <w:t xml:space="preserve">☐ Erfarenhet av att kartlägga överlappande och kompletterande regelverk</w:t>
      </w:r>
    </w:p>
    <w:p>
      <w:pPr>
        <w:numPr>
          <w:ilvl w:val="0"/>
          <w:numId w:val="1001"/>
        </w:numPr>
        <w:pStyle w:val="Compact"/>
      </w:pPr>
      <w:r>
        <w:t xml:space="preserve">☐ Metod för att identifiera framtida regelverk som kan påverka systemet</w:t>
      </w:r>
    </w:p>
    <w:p>
      <w:r>
        <w:pict>
          <v:rect style="width:0;height:1.5pt" o:hralign="center" o:hrstd="t" o:hr="t"/>
        </w:pict>
      </w:r>
    </w:p>
    <w:bookmarkEnd w:id="24"/>
    <w:bookmarkStart w:id="25" w:name="juridisk-teknisk-översättning"/>
    <w:p>
      <w:pPr>
        <w:pStyle w:val="Heading2"/>
      </w:pPr>
      <w:r>
        <w:t xml:space="preserve">Juridisk-teknisk översättning</w:t>
      </w:r>
    </w:p>
    <w:p>
      <w:pPr>
        <w:pStyle w:val="FirstParagraph"/>
      </w:pPr>
      <w:r>
        <w:t xml:space="preserve">Jurister som säger</w:t>
      </w:r>
      <w:r>
        <w:t xml:space="preserve"> </w:t>
      </w:r>
      <w:r>
        <w:t xml:space="preserve">“</w:t>
      </w:r>
      <w:r>
        <w:t xml:space="preserve">lämpliga tekniska åtgärder</w:t>
      </w:r>
      <w:r>
        <w:t xml:space="preserve">”</w:t>
      </w:r>
      <w:r>
        <w:t xml:space="preserve"> </w:t>
      </w:r>
      <w:r>
        <w:t xml:space="preserve">hjälper inte utvecklare som behöver veta exakt vad som ska implementeras.</w:t>
      </w:r>
    </w:p>
    <w:p>
      <w:pPr>
        <w:numPr>
          <w:ilvl w:val="0"/>
          <w:numId w:val="1002"/>
        </w:numPr>
        <w:pStyle w:val="Compact"/>
      </w:pPr>
      <w:r>
        <w:t xml:space="preserve">☐ Bevisad förmåga att översätta juridiska krav till tekniska specifikationer</w:t>
      </w:r>
    </w:p>
    <w:p>
      <w:pPr>
        <w:numPr>
          <w:ilvl w:val="0"/>
          <w:numId w:val="1002"/>
        </w:numPr>
        <w:pStyle w:val="Compact"/>
      </w:pPr>
      <w:r>
        <w:t xml:space="preserve">☐ Erfarenhet av samarbete mellan jurister och tekniker</w:t>
      </w:r>
    </w:p>
    <w:p>
      <w:pPr>
        <w:numPr>
          <w:ilvl w:val="0"/>
          <w:numId w:val="1002"/>
        </w:numPr>
        <w:pStyle w:val="Compact"/>
      </w:pPr>
      <w:r>
        <w:t xml:space="preserve">☐ Dokumenterad process för att hantera tvetydiga lagtexter</w:t>
      </w:r>
    </w:p>
    <w:p>
      <w:pPr>
        <w:numPr>
          <w:ilvl w:val="0"/>
          <w:numId w:val="1002"/>
        </w:numPr>
        <w:pStyle w:val="Compact"/>
      </w:pPr>
      <w:r>
        <w:t xml:space="preserve">☐ Kunskap om hur juridiska tolkningar varierar mellan myndigheter</w:t>
      </w:r>
    </w:p>
    <w:p>
      <w:pPr>
        <w:numPr>
          <w:ilvl w:val="0"/>
          <w:numId w:val="1002"/>
        </w:numPr>
        <w:pStyle w:val="Compact"/>
      </w:pPr>
      <w:r>
        <w:t xml:space="preserve">☐ Förmåga att kommunicera regulatoriska krav på tekniskt språk</w:t>
      </w:r>
    </w:p>
    <w:p>
      <w:r>
        <w:pict>
          <v:rect style="width:0;height:1.5pt" o:hralign="center" o:hrstd="t" o:hr="t"/>
        </w:pict>
      </w:r>
    </w:p>
    <w:bookmarkEnd w:id="25"/>
    <w:bookmarkStart w:id="26" w:name="gdpr-och-dataskydd"/>
    <w:p>
      <w:pPr>
        <w:pStyle w:val="Heading2"/>
      </w:pPr>
      <w:r>
        <w:t xml:space="preserve">GDPR och dataskydd</w:t>
      </w:r>
    </w:p>
    <w:p>
      <w:pPr>
        <w:pStyle w:val="FirstParagraph"/>
      </w:pPr>
      <w:r>
        <w:t xml:space="preserve">GDPR är inte ett IT-projekt, det är en fundamental förändring i hur data hanteras. Privacy by Design måste integreras från början.</w:t>
      </w:r>
    </w:p>
    <w:p>
      <w:pPr>
        <w:numPr>
          <w:ilvl w:val="0"/>
          <w:numId w:val="1003"/>
        </w:numPr>
        <w:pStyle w:val="Compact"/>
      </w:pPr>
      <w:r>
        <w:t xml:space="preserve">☐ Djup förståelse för GDPR och hur det påverkar systemdesign</w:t>
      </w:r>
    </w:p>
    <w:p>
      <w:pPr>
        <w:numPr>
          <w:ilvl w:val="0"/>
          <w:numId w:val="1003"/>
        </w:numPr>
        <w:pStyle w:val="Compact"/>
      </w:pPr>
      <w:r>
        <w:t xml:space="preserve">☐ Erfarenhet av Privacy by Design och Privacy by Default</w:t>
      </w:r>
    </w:p>
    <w:p>
      <w:pPr>
        <w:numPr>
          <w:ilvl w:val="0"/>
          <w:numId w:val="1003"/>
        </w:numPr>
        <w:pStyle w:val="Compact"/>
      </w:pPr>
      <w:r>
        <w:t xml:space="preserve">☐ Dokumenterad kompetens inom dataskyddskonsekvensanalys (DPIA)</w:t>
      </w:r>
    </w:p>
    <w:p>
      <w:pPr>
        <w:numPr>
          <w:ilvl w:val="0"/>
          <w:numId w:val="1003"/>
        </w:numPr>
        <w:pStyle w:val="Compact"/>
      </w:pPr>
      <w:r>
        <w:t xml:space="preserve">☐ Kunskap om hur personuppgifter ska hanteras genom hela livscykeln</w:t>
      </w:r>
    </w:p>
    <w:p>
      <w:pPr>
        <w:numPr>
          <w:ilvl w:val="0"/>
          <w:numId w:val="1003"/>
        </w:numPr>
        <w:pStyle w:val="Compact"/>
      </w:pPr>
      <w:r>
        <w:t xml:space="preserve">☐ Förmåga att implementera användarrättigheter (radering, dataportabilitet)</w:t>
      </w:r>
    </w:p>
    <w:p>
      <w:pPr>
        <w:numPr>
          <w:ilvl w:val="0"/>
          <w:numId w:val="1003"/>
        </w:numPr>
        <w:pStyle w:val="Compact"/>
      </w:pPr>
      <w:r>
        <w:t xml:space="preserve">☐ Erfarenhet av att hantera Data Subject Requests (DSR)</w:t>
      </w:r>
    </w:p>
    <w:p>
      <w:r>
        <w:pict>
          <v:rect style="width:0;height:1.5pt" o:hralign="center" o:hrstd="t" o:hr="t"/>
        </w:pict>
      </w:r>
    </w:p>
    <w:bookmarkEnd w:id="26"/>
    <w:bookmarkStart w:id="27" w:name="cybersäkerhetslagen"/>
    <w:p>
      <w:pPr>
        <w:pStyle w:val="Heading2"/>
      </w:pPr>
      <w:r>
        <w:t xml:space="preserve">Cybersäkerhetslagen</w:t>
      </w:r>
    </w:p>
    <w:p>
      <w:pPr>
        <w:pStyle w:val="FirstParagraph"/>
      </w:pPr>
      <w:r>
        <w:t xml:space="preserve">Cybersäkerhetslagen gäller inte bara stora organisationer. Om leverantören inte kan bevisa efterlevnad diskvalificeras ni automatiskt från uppdrag hos organisationer som måste uppfylla den.</w:t>
      </w:r>
    </w:p>
    <w:p>
      <w:pPr>
        <w:numPr>
          <w:ilvl w:val="0"/>
          <w:numId w:val="1004"/>
        </w:numPr>
        <w:pStyle w:val="Compact"/>
      </w:pPr>
      <w:r>
        <w:t xml:space="preserve">☐ Förståelse för Cybersäkerhetslagens krav och nationell implementering</w:t>
      </w:r>
    </w:p>
    <w:p>
      <w:pPr>
        <w:numPr>
          <w:ilvl w:val="0"/>
          <w:numId w:val="1004"/>
        </w:numPr>
        <w:pStyle w:val="Compact"/>
      </w:pPr>
      <w:r>
        <w:t xml:space="preserve">☐ Erfarenhet av att implementera riskhantering enligt Cybersäkerhetslagen</w:t>
      </w:r>
    </w:p>
    <w:p>
      <w:pPr>
        <w:numPr>
          <w:ilvl w:val="0"/>
          <w:numId w:val="1004"/>
        </w:numPr>
        <w:pStyle w:val="Compact"/>
      </w:pPr>
      <w:r>
        <w:t xml:space="preserve">☐ Kunskap om incidentrapportering och tidskrav (24 timmar)</w:t>
      </w:r>
    </w:p>
    <w:p>
      <w:pPr>
        <w:numPr>
          <w:ilvl w:val="0"/>
          <w:numId w:val="1004"/>
        </w:numPr>
        <w:pStyle w:val="Compact"/>
      </w:pPr>
      <w:r>
        <w:t xml:space="preserve">☐ Dokumenterad process för ledningens involvering i cybersäkerhet</w:t>
      </w:r>
    </w:p>
    <w:p>
      <w:pPr>
        <w:numPr>
          <w:ilvl w:val="0"/>
          <w:numId w:val="1004"/>
        </w:numPr>
        <w:pStyle w:val="Compact"/>
      </w:pPr>
      <w:r>
        <w:t xml:space="preserve">☐ Förmåga att etablera supply chain-säkerhet enligt Cybersäkerhetslagen</w:t>
      </w:r>
    </w:p>
    <w:p>
      <w:r>
        <w:pict>
          <v:rect style="width:0;height:1.5pt" o:hralign="center" o:hrstd="t" o:hr="t"/>
        </w:pict>
      </w:r>
    </w:p>
    <w:bookmarkEnd w:id="27"/>
    <w:bookmarkStart w:id="28" w:name="branschspecifik-regelefterlevnad"/>
    <w:p>
      <w:pPr>
        <w:pStyle w:val="Heading2"/>
      </w:pPr>
      <w:r>
        <w:t xml:space="preserve">Branschspecifik regelefterlevnad</w:t>
      </w:r>
    </w:p>
    <w:p>
      <w:pPr>
        <w:pStyle w:val="FirstParagraph"/>
      </w:pPr>
      <w:r>
        <w:t xml:space="preserve">Varje bransch har sina unika regelverk som tekniker utanför branschen lätt missar.</w:t>
      </w:r>
    </w:p>
    <w:p>
      <w:pPr>
        <w:numPr>
          <w:ilvl w:val="0"/>
          <w:numId w:val="1005"/>
        </w:numPr>
        <w:pStyle w:val="Compact"/>
      </w:pPr>
      <w:r>
        <w:t xml:space="preserve">☐ Dokumenterad erfarenhet från relevanta branschregelverk</w:t>
      </w:r>
    </w:p>
    <w:p>
      <w:pPr>
        <w:numPr>
          <w:ilvl w:val="0"/>
          <w:numId w:val="1005"/>
        </w:numPr>
        <w:pStyle w:val="Compact"/>
      </w:pPr>
      <w:r>
        <w:t xml:space="preserve">☐ Kunskap om certifieringskrav och auditprocesser</w:t>
      </w:r>
    </w:p>
    <w:p>
      <w:pPr>
        <w:numPr>
          <w:ilvl w:val="0"/>
          <w:numId w:val="1005"/>
        </w:numPr>
        <w:pStyle w:val="Compact"/>
      </w:pPr>
      <w:r>
        <w:t xml:space="preserve">☐ Erfarenhet av att arbeta med tillsynsmyndigheter</w:t>
      </w:r>
    </w:p>
    <w:p>
      <w:pPr>
        <w:numPr>
          <w:ilvl w:val="0"/>
          <w:numId w:val="1005"/>
        </w:numPr>
        <w:pStyle w:val="Compact"/>
      </w:pPr>
      <w:r>
        <w:t xml:space="preserve">☐ Förmåga att implementera branschspecifika säkerhetskontroller</w:t>
      </w:r>
    </w:p>
    <w:p>
      <w:pPr>
        <w:numPr>
          <w:ilvl w:val="0"/>
          <w:numId w:val="1005"/>
        </w:numPr>
        <w:pStyle w:val="Compact"/>
      </w:pPr>
      <w:r>
        <w:t xml:space="preserve">☐ Nätverk med branschexperter och juridisk kompetens</w:t>
      </w:r>
    </w:p>
    <w:p>
      <w:r>
        <w:pict>
          <v:rect style="width:0;height:1.5pt" o:hralign="center" o:hrstd="t" o:hr="t"/>
        </w:pict>
      </w:r>
    </w:p>
    <w:bookmarkEnd w:id="28"/>
    <w:bookmarkStart w:id="29" w:name="tillgänglighet-som-juridiskt-krav"/>
    <w:p>
      <w:pPr>
        <w:pStyle w:val="Heading2"/>
      </w:pPr>
      <w:r>
        <w:t xml:space="preserve">Tillgänglighet som juridiskt krav</w:t>
      </w:r>
    </w:p>
    <w:p>
      <w:pPr>
        <w:pStyle w:val="FirstParagraph"/>
      </w:pPr>
      <w:r>
        <w:t xml:space="preserve">Tillgänglighet är inte längre frivilligt – det är lagkrav för såväl offentlig sektor som för privata företag.</w:t>
      </w:r>
    </w:p>
    <w:p>
      <w:pPr>
        <w:numPr>
          <w:ilvl w:val="0"/>
          <w:numId w:val="1006"/>
        </w:numPr>
        <w:pStyle w:val="Compact"/>
      </w:pPr>
      <w:r>
        <w:t xml:space="preserve">☐ Kunskap om Tillgänglighetsdirektivet och European Accessibility Act</w:t>
      </w:r>
    </w:p>
    <w:p>
      <w:pPr>
        <w:numPr>
          <w:ilvl w:val="0"/>
          <w:numId w:val="1006"/>
        </w:numPr>
        <w:pStyle w:val="Compact"/>
      </w:pPr>
      <w:r>
        <w:t xml:space="preserve">☐ Erfarenhet av WCAG 2.1 nivå AA-implementation</w:t>
      </w:r>
    </w:p>
    <w:p>
      <w:pPr>
        <w:numPr>
          <w:ilvl w:val="0"/>
          <w:numId w:val="1006"/>
        </w:numPr>
        <w:pStyle w:val="Compact"/>
      </w:pPr>
      <w:r>
        <w:t xml:space="preserve">☐ Dokumenterad kompetens inom tillgänglighetstestning</w:t>
      </w:r>
    </w:p>
    <w:p>
      <w:pPr>
        <w:numPr>
          <w:ilvl w:val="0"/>
          <w:numId w:val="1006"/>
        </w:numPr>
        <w:pStyle w:val="Compact"/>
      </w:pPr>
      <w:r>
        <w:t xml:space="preserve">☐ Förmåga att integrera tillgänglighet från designfas</w:t>
      </w:r>
    </w:p>
    <w:p>
      <w:pPr>
        <w:numPr>
          <w:ilvl w:val="0"/>
          <w:numId w:val="1006"/>
        </w:numPr>
        <w:pStyle w:val="Compact"/>
      </w:pPr>
      <w:r>
        <w:t xml:space="preserve">☐ Kunskap om assistiva teknologier och hjälpmedel</w:t>
      </w:r>
    </w:p>
    <w:p>
      <w:r>
        <w:pict>
          <v:rect style="width:0;height:1.5pt" o:hralign="center" o:hrstd="t" o:hr="t"/>
        </w:pict>
      </w:r>
    </w:p>
    <w:bookmarkEnd w:id="29"/>
    <w:bookmarkStart w:id="30" w:name="compliance-dokumentation-och-spårbarhet"/>
    <w:p>
      <w:pPr>
        <w:pStyle w:val="Heading2"/>
      </w:pPr>
      <w:r>
        <w:t xml:space="preserve">Compliance-dokumentation och spårbarhet</w:t>
      </w:r>
    </w:p>
    <w:p>
      <w:pPr>
        <w:pStyle w:val="FirstParagraph"/>
      </w:pPr>
      <w:r>
        <w:t xml:space="preserve">Att följa lagen räcker inte – ni måste kunna bevisa det. Vid revision eller incident behöver ni visa exakt vad ni gjort och varför.</w:t>
      </w:r>
    </w:p>
    <w:p>
      <w:pPr>
        <w:numPr>
          <w:ilvl w:val="0"/>
          <w:numId w:val="1007"/>
        </w:numPr>
        <w:pStyle w:val="Compact"/>
      </w:pPr>
      <w:r>
        <w:t xml:space="preserve">☐ Erfarenhet av att förbereda och genomgå externa revisioner</w:t>
      </w:r>
    </w:p>
    <w:p>
      <w:pPr>
        <w:numPr>
          <w:ilvl w:val="0"/>
          <w:numId w:val="1007"/>
        </w:numPr>
        <w:pStyle w:val="Compact"/>
      </w:pPr>
      <w:r>
        <w:t xml:space="preserve">☐ Dokumenterad metod för compliance-mappning (från lag till teknisk kontroll)</w:t>
      </w:r>
    </w:p>
    <w:p>
      <w:pPr>
        <w:numPr>
          <w:ilvl w:val="0"/>
          <w:numId w:val="1007"/>
        </w:numPr>
        <w:pStyle w:val="Compact"/>
      </w:pPr>
      <w:r>
        <w:t xml:space="preserve">☐ Kunskap om vilken dokumentation olika tillsynsmyndigheter kräver</w:t>
      </w:r>
    </w:p>
    <w:p>
      <w:pPr>
        <w:numPr>
          <w:ilvl w:val="0"/>
          <w:numId w:val="1007"/>
        </w:numPr>
        <w:pStyle w:val="Compact"/>
      </w:pPr>
      <w:r>
        <w:t xml:space="preserve">☐ Förmåga att etablera spårbarhet från krav till implementation till test</w:t>
      </w:r>
    </w:p>
    <w:p>
      <w:pPr>
        <w:numPr>
          <w:ilvl w:val="0"/>
          <w:numId w:val="1007"/>
        </w:numPr>
        <w:pStyle w:val="Compact"/>
      </w:pPr>
      <w:r>
        <w:t xml:space="preserve">☐ Erfarenhet av att skapa behandlingsregister och logghantering</w:t>
      </w:r>
    </w:p>
    <w:p>
      <w:r>
        <w:pict>
          <v:rect style="width:0;height:1.5pt" o:hralign="center" o:hrstd="t" o:hr="t"/>
        </w:pict>
      </w:r>
    </w:p>
    <w:bookmarkEnd w:id="30"/>
    <w:bookmarkStart w:id="31" w:name="automatiserad-compliance"/>
    <w:p>
      <w:pPr>
        <w:pStyle w:val="Heading2"/>
      </w:pPr>
      <w:r>
        <w:t xml:space="preserve">Automatiserad compliance</w:t>
      </w:r>
    </w:p>
    <w:p>
      <w:pPr>
        <w:pStyle w:val="FirstParagraph"/>
      </w:pPr>
      <w:r>
        <w:t xml:space="preserve">Manuella compliance-kontroller är tidskrävande, felbenägna och skalas dåligt.</w:t>
      </w:r>
    </w:p>
    <w:p>
      <w:pPr>
        <w:numPr>
          <w:ilvl w:val="0"/>
          <w:numId w:val="1008"/>
        </w:numPr>
        <w:pStyle w:val="Compact"/>
      </w:pPr>
      <w:r>
        <w:t xml:space="preserve">☐ Erfarenhet av automatiserade compliance-kontroller i CI/CD-pipelines</w:t>
      </w:r>
    </w:p>
    <w:p>
      <w:pPr>
        <w:numPr>
          <w:ilvl w:val="0"/>
          <w:numId w:val="1008"/>
        </w:numPr>
        <w:pStyle w:val="Compact"/>
      </w:pPr>
      <w:r>
        <w:t xml:space="preserve">☐ Kunskap om verktyg som OPA, Chef InSpec, eller motsvarande</w:t>
      </w:r>
    </w:p>
    <w:p>
      <w:pPr>
        <w:numPr>
          <w:ilvl w:val="0"/>
          <w:numId w:val="1008"/>
        </w:numPr>
        <w:pStyle w:val="Compact"/>
      </w:pPr>
      <w:r>
        <w:t xml:space="preserve">☐ Förmåga att översätta regulatoriska krav till verifierbara tester</w:t>
      </w:r>
    </w:p>
    <w:p>
      <w:pPr>
        <w:numPr>
          <w:ilvl w:val="0"/>
          <w:numId w:val="1008"/>
        </w:numPr>
        <w:pStyle w:val="Compact"/>
      </w:pPr>
      <w:r>
        <w:t xml:space="preserve">☐ Dokumenterad process för kontinuerlig compliance-validering</w:t>
      </w:r>
    </w:p>
    <w:p>
      <w:pPr>
        <w:numPr>
          <w:ilvl w:val="0"/>
          <w:numId w:val="1008"/>
        </w:numPr>
        <w:pStyle w:val="Compact"/>
      </w:pPr>
      <w:r>
        <w:t xml:space="preserve">☐ Erfarenhet av att integrera compliance i utvecklingsprocessen</w:t>
      </w:r>
    </w:p>
    <w:p>
      <w:r>
        <w:pict>
          <v:rect style="width:0;height:1.5pt" o:hralign="center" o:hrstd="t" o:hr="t"/>
        </w:pict>
      </w:r>
    </w:p>
    <w:bookmarkEnd w:id="31"/>
    <w:bookmarkStart w:id="32" w:name="internationell-datahantering"/>
    <w:p>
      <w:pPr>
        <w:pStyle w:val="Heading2"/>
      </w:pPr>
      <w:r>
        <w:t xml:space="preserve">Internationell datahantering</w:t>
      </w:r>
    </w:p>
    <w:p>
      <w:pPr>
        <w:pStyle w:val="FirstParagraph"/>
      </w:pPr>
      <w:r>
        <w:t xml:space="preserve">Att lagra EU-medborgares data i USA kan bryta mot GDPR efter Schrems II-domen.</w:t>
      </w:r>
    </w:p>
    <w:p>
      <w:pPr>
        <w:numPr>
          <w:ilvl w:val="0"/>
          <w:numId w:val="1009"/>
        </w:numPr>
        <w:pStyle w:val="Compact"/>
      </w:pPr>
      <w:r>
        <w:t xml:space="preserve">☐ Förståelse för datasuveränitet och gränsöverskridande dataflöden</w:t>
      </w:r>
    </w:p>
    <w:p>
      <w:pPr>
        <w:numPr>
          <w:ilvl w:val="0"/>
          <w:numId w:val="1009"/>
        </w:numPr>
        <w:pStyle w:val="Compact"/>
      </w:pPr>
      <w:r>
        <w:t xml:space="preserve">☐ Kunskap om Schrems II och konsekvenserna för molntjänster</w:t>
      </w:r>
    </w:p>
    <w:p>
      <w:pPr>
        <w:numPr>
          <w:ilvl w:val="0"/>
          <w:numId w:val="1009"/>
        </w:numPr>
        <w:pStyle w:val="Compact"/>
      </w:pPr>
      <w:r>
        <w:t xml:space="preserve">☐ Erfarenhet av att navigera olika jurisdiktioners dataskyddskrav</w:t>
      </w:r>
    </w:p>
    <w:p>
      <w:pPr>
        <w:numPr>
          <w:ilvl w:val="0"/>
          <w:numId w:val="1009"/>
        </w:numPr>
        <w:pStyle w:val="Compact"/>
      </w:pPr>
      <w:r>
        <w:t xml:space="preserve">☐ Förmåga att designa system med datalokaliseringskrav</w:t>
      </w:r>
    </w:p>
    <w:p>
      <w:pPr>
        <w:numPr>
          <w:ilvl w:val="0"/>
          <w:numId w:val="1009"/>
        </w:numPr>
        <w:pStyle w:val="Compact"/>
      </w:pPr>
      <w:r>
        <w:t xml:space="preserve">☐ Dokumenterad kompetens inom internationella överföringsmekanismer</w:t>
      </w:r>
    </w:p>
    <w:p>
      <w:r>
        <w:pict>
          <v:rect style="width:0;height:1.5pt" o:hralign="center" o:hrstd="t" o:hr="t"/>
        </w:pict>
      </w:r>
    </w:p>
    <w:bookmarkEnd w:id="32"/>
    <w:bookmarkStart w:id="33" w:name="regulatorisk-förändringsberedskap"/>
    <w:p>
      <w:pPr>
        <w:pStyle w:val="Heading2"/>
      </w:pPr>
      <w:r>
        <w:t xml:space="preserve">Regulatorisk förändringsberedskap</w:t>
      </w:r>
    </w:p>
    <w:p>
      <w:pPr>
        <w:pStyle w:val="FirstParagraph"/>
      </w:pPr>
      <w:r>
        <w:t xml:space="preserve">Regelverk ändras ständigt. AI Act träder i kraft. ePrivacy-förordningen väntar.</w:t>
      </w:r>
    </w:p>
    <w:p>
      <w:pPr>
        <w:numPr>
          <w:ilvl w:val="0"/>
          <w:numId w:val="1010"/>
        </w:numPr>
        <w:pStyle w:val="Compact"/>
      </w:pPr>
      <w:r>
        <w:t xml:space="preserve">☐ Dokumenterad process för bevakning av regulatoriska förändringar</w:t>
      </w:r>
    </w:p>
    <w:p>
      <w:pPr>
        <w:numPr>
          <w:ilvl w:val="0"/>
          <w:numId w:val="1010"/>
        </w:numPr>
        <w:pStyle w:val="Compact"/>
      </w:pPr>
      <w:r>
        <w:t xml:space="preserve">☐ Aktivt deltagande i branschforum och standardiseringsarbete</w:t>
      </w:r>
    </w:p>
    <w:p>
      <w:pPr>
        <w:numPr>
          <w:ilvl w:val="0"/>
          <w:numId w:val="1010"/>
        </w:numPr>
        <w:pStyle w:val="Compact"/>
      </w:pPr>
      <w:r>
        <w:t xml:space="preserve">☐ Nätverk med myndigheter och tillsynsorgan</w:t>
      </w:r>
    </w:p>
    <w:p>
      <w:pPr>
        <w:numPr>
          <w:ilvl w:val="0"/>
          <w:numId w:val="1010"/>
        </w:numPr>
        <w:pStyle w:val="Compact"/>
      </w:pPr>
      <w:r>
        <w:t xml:space="preserve">☐ Förmåga att snabbt anpassa system till nya regelverk</w:t>
      </w:r>
    </w:p>
    <w:p>
      <w:pPr>
        <w:numPr>
          <w:ilvl w:val="0"/>
          <w:numId w:val="1010"/>
        </w:numPr>
        <w:pStyle w:val="Compact"/>
      </w:pPr>
      <w:r>
        <w:t xml:space="preserve">☐ Erfarenhet av att påverka regelutveckling genom remissvar och samråd</w:t>
      </w:r>
    </w:p>
    <w:p>
      <w:r>
        <w:pict>
          <v:rect style="width:0;height:1.5pt" o:hralign="center" o:hrstd="t" o:hr="t"/>
        </w:pict>
      </w:r>
    </w:p>
    <w:bookmarkEnd w:id="33"/>
    <w:bookmarkStart w:id="34" w:name="röda-flaggor"/>
    <w:p>
      <w:pPr>
        <w:pStyle w:val="Heading2"/>
      </w:pPr>
      <w:r>
        <w:t xml:space="preserve">Röda flaggor</w:t>
      </w:r>
    </w:p>
    <w:p>
      <w:pPr>
        <w:pStyle w:val="FirstParagraph"/>
      </w:pPr>
      <w:r>
        <w:t xml:space="preserve">Var särskilt vaksam på dessa varningssignaler:</w:t>
      </w:r>
    </w:p>
    <w:p>
      <w:pPr>
        <w:numPr>
          <w:ilvl w:val="0"/>
          <w:numId w:val="1011"/>
        </w:numPr>
        <w:pStyle w:val="Compact"/>
      </w:pPr>
      <w:r>
        <w:t xml:space="preserve">☐ Leverantören säger att</w:t>
      </w:r>
      <w:r>
        <w:t xml:space="preserve"> </w:t>
      </w:r>
      <w:r>
        <w:t xml:space="preserve">“</w:t>
      </w:r>
      <w:r>
        <w:t xml:space="preserve">compliance fixar vi i slutet</w:t>
      </w:r>
      <w:r>
        <w:t xml:space="preserve">”</w:t>
      </w:r>
    </w:p>
    <w:p>
      <w:pPr>
        <w:numPr>
          <w:ilvl w:val="0"/>
          <w:numId w:val="1011"/>
        </w:numPr>
        <w:pStyle w:val="Compact"/>
      </w:pPr>
      <w:r>
        <w:t xml:space="preserve">☐ Ingen process för att kartlägga tillämpliga regelverk</w:t>
      </w:r>
    </w:p>
    <w:p>
      <w:pPr>
        <w:numPr>
          <w:ilvl w:val="0"/>
          <w:numId w:val="1011"/>
        </w:numPr>
        <w:pStyle w:val="Compact"/>
      </w:pPr>
      <w:r>
        <w:t xml:space="preserve">☐ Saknar erfarenhet av att implementera GDPR</w:t>
      </w:r>
    </w:p>
    <w:p>
      <w:pPr>
        <w:numPr>
          <w:ilvl w:val="0"/>
          <w:numId w:val="1011"/>
        </w:numPr>
        <w:pStyle w:val="Compact"/>
      </w:pPr>
      <w:r>
        <w:t xml:space="preserve">☐ Ingen spårbarhet från juridiska krav till tekniska kontroller</w:t>
      </w:r>
    </w:p>
    <w:p>
      <w:pPr>
        <w:numPr>
          <w:ilvl w:val="0"/>
          <w:numId w:val="1011"/>
        </w:numPr>
        <w:pStyle w:val="Compact"/>
      </w:pPr>
      <w:r>
        <w:t xml:space="preserve">☐ Använder produktionsdata i testmiljöer utan särskilda skydd</w:t>
      </w:r>
    </w:p>
    <w:p>
      <w:pPr>
        <w:numPr>
          <w:ilvl w:val="0"/>
          <w:numId w:val="1011"/>
        </w:numPr>
        <w:pStyle w:val="Compact"/>
      </w:pPr>
      <w:r>
        <w:t xml:space="preserve">☐ Compliance ses som en börda istället för en kvalitetsaspekt</w:t>
      </w:r>
    </w:p>
    <w:p>
      <w:pPr>
        <w:numPr>
          <w:ilvl w:val="0"/>
          <w:numId w:val="1011"/>
        </w:numPr>
        <w:pStyle w:val="Compact"/>
      </w:pPr>
      <w:r>
        <w:t xml:space="preserve">☐</w:t>
      </w:r>
      <w:r>
        <w:t xml:space="preserve"> </w:t>
      </w:r>
      <w:r>
        <w:t xml:space="preserve">“</w:t>
      </w:r>
      <w:r>
        <w:t xml:space="preserve">Vi följer GDPR</w:t>
      </w:r>
      <w:r>
        <w:t xml:space="preserve">”</w:t>
      </w:r>
      <w:r>
        <w:t xml:space="preserve"> </w:t>
      </w:r>
      <w:r>
        <w:t xml:space="preserve">utan att kunna förklara hur</w:t>
      </w:r>
    </w:p>
    <w:p>
      <w:r>
        <w:pict>
          <v:rect style="width:0;height:1.5pt" o:hralign="center" o:hrstd="t" o:hr="t"/>
        </w:pict>
      </w:r>
    </w:p>
    <w:bookmarkEnd w:id="34"/>
    <w:bookmarkStart w:id="3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2.5 (Regulatoriska krav).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2026-01-27T14:47:40Z</dcterms:created>
  <dcterms:modified xsi:type="dcterms:W3CDTF">2026-01-27T14:47:40Z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