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checklista-leverantörskrav-användbarhet"/>
    <w:p>
      <w:pPr>
        <w:pStyle w:val="Heading1"/>
      </w:pPr>
      <w:r>
        <w:t xml:space="preserve">Checklista: Leverantörskrav – Användbarhet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används när ni valt att BYGGA eller kraftigt ANPASSA ett system. Den fokuserar på leverantörens förmåga och kompetens inom användbarhet – inte vad systemet ska göra, utan hur väl leverantören kan leverera det.</w:t>
      </w:r>
    </w:p>
    <w:p>
      <w:pPr>
        <w:pStyle w:val="BodyText"/>
      </w:pPr>
      <w:r>
        <w:t xml:space="preserve">Listan är en meny, inte en beställning. Välj ut de punkter som är kritiska för just ert projekt.</w:t>
      </w:r>
    </w:p>
    <w:p>
      <w:pPr>
        <w:pStyle w:val="BodyText"/>
      </w:pPr>
      <w:r>
        <w:t xml:space="preserve">För fördjupning, se kapitel 2.1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4" w:name="ux-design-och-användarundersökningar"/>
    <w:p>
      <w:pPr>
        <w:pStyle w:val="Heading2"/>
      </w:pPr>
      <w:r>
        <w:t xml:space="preserve">UX-design och användarundersökningar</w:t>
      </w:r>
    </w:p>
    <w:p>
      <w:pPr>
        <w:pStyle w:val="FirstParagraph"/>
      </w:pPr>
      <w:r>
        <w:t xml:space="preserve">Användbarhet bygger på förståelse för verkliga användare i deras verkliga kontext. Teoretisk kunskap om UX räcker inte – leverantören måste visa att de systematiskt involverar användare.</w:t>
      </w:r>
    </w:p>
    <w:p>
      <w:pPr>
        <w:numPr>
          <w:ilvl w:val="0"/>
          <w:numId w:val="1001"/>
        </w:numPr>
        <w:pStyle w:val="Compact"/>
      </w:pPr>
      <w:r>
        <w:t xml:space="preserve">☐ Dokumenterad kompetens inom användarcentrerad design (UCD)</w:t>
      </w:r>
    </w:p>
    <w:p>
      <w:pPr>
        <w:numPr>
          <w:ilvl w:val="0"/>
          <w:numId w:val="1001"/>
        </w:numPr>
        <w:pStyle w:val="Compact"/>
      </w:pPr>
      <w:r>
        <w:t xml:space="preserve">☐ Erfarenhet av systematiska användarundersökningar (kontextuella intervjuer, observationer, användartester)</w:t>
      </w:r>
    </w:p>
    <w:p>
      <w:pPr>
        <w:numPr>
          <w:ilvl w:val="0"/>
          <w:numId w:val="1001"/>
        </w:numPr>
        <w:pStyle w:val="Compact"/>
      </w:pPr>
      <w:r>
        <w:t xml:space="preserve">☐ Metoder för att skapa och använda personas baserade på verklig data</w:t>
      </w:r>
    </w:p>
    <w:p>
      <w:pPr>
        <w:numPr>
          <w:ilvl w:val="0"/>
          <w:numId w:val="1001"/>
        </w:numPr>
        <w:pStyle w:val="Compact"/>
      </w:pPr>
      <w:r>
        <w:t xml:space="preserve">☐ Process för användarresekartor och service design</w:t>
      </w:r>
    </w:p>
    <w:p>
      <w:pPr>
        <w:numPr>
          <w:ilvl w:val="0"/>
          <w:numId w:val="1001"/>
        </w:numPr>
        <w:pStyle w:val="Compact"/>
      </w:pPr>
      <w:r>
        <w:t xml:space="preserve">☐ Portfolio som visar tydlig koppling mellan användarundersökningar och designbeslut</w:t>
      </w:r>
    </w:p>
    <w:p>
      <w:pPr>
        <w:numPr>
          <w:ilvl w:val="0"/>
          <w:numId w:val="1001"/>
        </w:numPr>
        <w:pStyle w:val="Compact"/>
      </w:pPr>
      <w:r>
        <w:t xml:space="preserve">☐ Erfarenhet av iterativ design med kontinuerlig användarinvolvering</w:t>
      </w:r>
    </w:p>
    <w:p>
      <w:r>
        <w:pict>
          <v:rect style="width:0;height:1.5pt" o:hralign="center" o:hrstd="t" o:hr="t"/>
        </w:pict>
      </w:r>
    </w:p>
    <w:bookmarkEnd w:id="24"/>
    <w:bookmarkStart w:id="25" w:name="tillgänglighet-och-wcag-efterlevnad"/>
    <w:p>
      <w:pPr>
        <w:pStyle w:val="Heading2"/>
      </w:pPr>
      <w:r>
        <w:t xml:space="preserve">Tillgänglighet och WCAG-efterlevnad</w:t>
      </w:r>
    </w:p>
    <w:p>
      <w:pPr>
        <w:pStyle w:val="FirstParagraph"/>
      </w:pPr>
      <w:r>
        <w:t xml:space="preserve">Tillgänglighet är lagkrav för de flesta digitala tjänster sedan 2025. Det måste byggas in från start.</w:t>
      </w:r>
    </w:p>
    <w:p>
      <w:pPr>
        <w:numPr>
          <w:ilvl w:val="0"/>
          <w:numId w:val="1002"/>
        </w:numPr>
        <w:pStyle w:val="Compact"/>
      </w:pPr>
      <w:r>
        <w:t xml:space="preserve">☐ Dokumenterad kunskap om WCAG 2.1 nivå AA (eller högre nivå)</w:t>
      </w:r>
    </w:p>
    <w:p>
      <w:pPr>
        <w:numPr>
          <w:ilvl w:val="0"/>
          <w:numId w:val="1002"/>
        </w:numPr>
        <w:pStyle w:val="Compact"/>
      </w:pPr>
      <w:r>
        <w:t xml:space="preserve">☐ Erfarenhet av att bygga system som uppfyller tillgänglighetskrav</w:t>
      </w:r>
    </w:p>
    <w:p>
      <w:pPr>
        <w:numPr>
          <w:ilvl w:val="0"/>
          <w:numId w:val="1002"/>
        </w:numPr>
        <w:pStyle w:val="Compact"/>
      </w:pPr>
      <w:r>
        <w:t xml:space="preserve">☐ Metoder för både automatisk och manuell tillgänglighetstestning</w:t>
      </w:r>
    </w:p>
    <w:p>
      <w:pPr>
        <w:numPr>
          <w:ilvl w:val="0"/>
          <w:numId w:val="1002"/>
        </w:numPr>
        <w:pStyle w:val="Compact"/>
      </w:pPr>
      <w:r>
        <w:t xml:space="preserve">☐ Kunskap om skärmläsare och andra hjälpmedel</w:t>
      </w:r>
    </w:p>
    <w:p>
      <w:pPr>
        <w:numPr>
          <w:ilvl w:val="0"/>
          <w:numId w:val="1002"/>
        </w:numPr>
        <w:pStyle w:val="Compact"/>
      </w:pPr>
      <w:r>
        <w:t xml:space="preserve">☐ Process för att säkerställa tangentbordsnavigation</w:t>
      </w:r>
    </w:p>
    <w:p>
      <w:pPr>
        <w:numPr>
          <w:ilvl w:val="0"/>
          <w:numId w:val="1002"/>
        </w:numPr>
        <w:pStyle w:val="Compact"/>
      </w:pPr>
      <w:r>
        <w:t xml:space="preserve">☐ Förståelse för färgkontraster och visuell design för tillgänglighet</w:t>
      </w:r>
    </w:p>
    <w:p>
      <w:pPr>
        <w:numPr>
          <w:ilvl w:val="0"/>
          <w:numId w:val="1002"/>
        </w:numPr>
        <w:pStyle w:val="Compact"/>
      </w:pPr>
      <w:r>
        <w:t xml:space="preserve">☐ Portfolio som visar tillgängliga lösningar i praktiken</w:t>
      </w:r>
    </w:p>
    <w:p>
      <w:r>
        <w:pict>
          <v:rect style="width:0;height:1.5pt" o:hralign="center" o:hrstd="t" o:hr="t"/>
        </w:pict>
      </w:r>
    </w:p>
    <w:bookmarkEnd w:id="25"/>
    <w:bookmarkStart w:id="26" w:name="processoptimering"/>
    <w:p>
      <w:pPr>
        <w:pStyle w:val="Heading2"/>
      </w:pPr>
      <w:r>
        <w:t xml:space="preserve">Processoptimering</w:t>
      </w:r>
    </w:p>
    <w:p>
      <w:pPr>
        <w:pStyle w:val="FirstParagraph"/>
      </w:pPr>
      <w:r>
        <w:t xml:space="preserve">“</w:t>
      </w:r>
      <w:r>
        <w:t xml:space="preserve">Optimerade arbetsflöden</w:t>
      </w:r>
      <w:r>
        <w:t xml:space="preserve">”</w:t>
      </w:r>
      <w:r>
        <w:t xml:space="preserve"> </w:t>
      </w:r>
      <w:r>
        <w:t xml:space="preserve">betyder olika saker i olika kontexter. Ni behöver någon som kan hjälpa er upptäcka vad det betyder för just er.</w:t>
      </w:r>
    </w:p>
    <w:p>
      <w:pPr>
        <w:numPr>
          <w:ilvl w:val="0"/>
          <w:numId w:val="1003"/>
        </w:numPr>
        <w:pStyle w:val="Compact"/>
      </w:pPr>
      <w:r>
        <w:t xml:space="preserve">☐ Erfarenhet av att analysera och optimera arbetsflöden</w:t>
      </w:r>
    </w:p>
    <w:p>
      <w:pPr>
        <w:numPr>
          <w:ilvl w:val="0"/>
          <w:numId w:val="1003"/>
        </w:numPr>
        <w:pStyle w:val="Compact"/>
      </w:pPr>
      <w:r>
        <w:t xml:space="preserve">☐ Metoder för att mäta effektivitet före och efter</w:t>
      </w:r>
    </w:p>
    <w:p>
      <w:pPr>
        <w:numPr>
          <w:ilvl w:val="0"/>
          <w:numId w:val="1003"/>
        </w:numPr>
        <w:pStyle w:val="Compact"/>
      </w:pPr>
      <w:r>
        <w:t xml:space="preserve">☐ Referenser där de förbättrat användareffektivitet</w:t>
      </w:r>
    </w:p>
    <w:p>
      <w:pPr>
        <w:numPr>
          <w:ilvl w:val="0"/>
          <w:numId w:val="1003"/>
        </w:numPr>
        <w:pStyle w:val="Compact"/>
      </w:pPr>
      <w:r>
        <w:t xml:space="preserve">☐ Kunskap om att identifiera och eliminera onödiga steg i processer</w:t>
      </w:r>
    </w:p>
    <w:p>
      <w:pPr>
        <w:numPr>
          <w:ilvl w:val="0"/>
          <w:numId w:val="1003"/>
        </w:numPr>
        <w:pStyle w:val="Compact"/>
      </w:pPr>
      <w:r>
        <w:t xml:space="preserve">☐ Förståelse för olika användarroller och deras specifika behov</w:t>
      </w:r>
    </w:p>
    <w:p>
      <w:r>
        <w:pict>
          <v:rect style="width:0;height:1.5pt" o:hralign="center" o:hrstd="t" o:hr="t"/>
        </w:pict>
      </w:r>
    </w:p>
    <w:bookmarkEnd w:id="26"/>
    <w:bookmarkStart w:id="27" w:name="systemkommunikation"/>
    <w:p>
      <w:pPr>
        <w:pStyle w:val="Heading2"/>
      </w:pPr>
      <w:r>
        <w:t xml:space="preserve">Systemkommunikation</w:t>
      </w:r>
    </w:p>
    <w:p>
      <w:pPr>
        <w:pStyle w:val="FirstParagraph"/>
      </w:pPr>
      <w:r>
        <w:t xml:space="preserve">Ett system som förklarar vad det gör och guidar användare vid problem minskar dramatiskt behovet av support och utbildning.</w:t>
      </w:r>
    </w:p>
    <w:p>
      <w:pPr>
        <w:numPr>
          <w:ilvl w:val="0"/>
          <w:numId w:val="1004"/>
        </w:numPr>
        <w:pStyle w:val="Compact"/>
      </w:pPr>
      <w:r>
        <w:t xml:space="preserve">☐ Erfarenhet av att designa självbeskrivande system</w:t>
      </w:r>
    </w:p>
    <w:p>
      <w:pPr>
        <w:numPr>
          <w:ilvl w:val="0"/>
          <w:numId w:val="1004"/>
        </w:numPr>
        <w:pStyle w:val="Compact"/>
      </w:pPr>
      <w:r>
        <w:t xml:space="preserve">☐ Kunskap om att skriva tydliga, hjälpsamma felmeddelanden</w:t>
      </w:r>
    </w:p>
    <w:p>
      <w:pPr>
        <w:numPr>
          <w:ilvl w:val="0"/>
          <w:numId w:val="1004"/>
        </w:numPr>
        <w:pStyle w:val="Compact"/>
      </w:pPr>
      <w:r>
        <w:t xml:space="preserve">☐ Portfolio som visar genomtänkt feedback och vägledning</w:t>
      </w:r>
    </w:p>
    <w:p>
      <w:pPr>
        <w:numPr>
          <w:ilvl w:val="0"/>
          <w:numId w:val="1004"/>
        </w:numPr>
        <w:pStyle w:val="Compact"/>
      </w:pPr>
      <w:r>
        <w:t xml:space="preserve">☐ Metoder för progressiv exponering av komplex funktionalitet</w:t>
      </w:r>
    </w:p>
    <w:p>
      <w:pPr>
        <w:numPr>
          <w:ilvl w:val="0"/>
          <w:numId w:val="1004"/>
        </w:numPr>
        <w:pStyle w:val="Compact"/>
      </w:pPr>
      <w:r>
        <w:t xml:space="preserve">☐ Förståelse för kognitiv belastning och informationsarkitektur</w:t>
      </w:r>
    </w:p>
    <w:p>
      <w:r>
        <w:pict>
          <v:rect style="width:0;height:1.5pt" o:hralign="center" o:hrstd="t" o:hr="t"/>
        </w:pict>
      </w:r>
    </w:p>
    <w:bookmarkEnd w:id="27"/>
    <w:bookmarkStart w:id="28" w:name="inkludering-bortom-tillgänglighet"/>
    <w:p>
      <w:pPr>
        <w:pStyle w:val="Heading2"/>
      </w:pPr>
      <w:r>
        <w:t xml:space="preserve">Inkludering bortom tillgänglighet</w:t>
      </w:r>
    </w:p>
    <w:p>
      <w:pPr>
        <w:pStyle w:val="FirstParagraph"/>
      </w:pPr>
      <w:r>
        <w:t xml:space="preserve">Era användare har olika bakgrunder och förutsättningar. Ett system som bara fungerar för tekniskt duktig användare med snabb uppkoppling exkluderar många potentiella användare.</w:t>
      </w:r>
    </w:p>
    <w:p>
      <w:pPr>
        <w:numPr>
          <w:ilvl w:val="0"/>
          <w:numId w:val="1005"/>
        </w:numPr>
        <w:pStyle w:val="Compact"/>
      </w:pPr>
      <w:r>
        <w:t xml:space="preserve">☐ Erfarenhet av design för användare med varierande teknisk mognad</w:t>
      </w:r>
    </w:p>
    <w:p>
      <w:pPr>
        <w:numPr>
          <w:ilvl w:val="0"/>
          <w:numId w:val="1005"/>
        </w:numPr>
        <w:pStyle w:val="Compact"/>
      </w:pPr>
      <w:r>
        <w:t xml:space="preserve">☐ Kunskap om internationalisering och kulturella aspekter</w:t>
      </w:r>
    </w:p>
    <w:p>
      <w:pPr>
        <w:numPr>
          <w:ilvl w:val="0"/>
          <w:numId w:val="1005"/>
        </w:numPr>
        <w:pStyle w:val="Compact"/>
      </w:pPr>
      <w:r>
        <w:t xml:space="preserve">☐ Förståelse för socioekonomiska faktorer (låg bandbredd, gamla enheter)</w:t>
      </w:r>
    </w:p>
    <w:p>
      <w:pPr>
        <w:numPr>
          <w:ilvl w:val="0"/>
          <w:numId w:val="1005"/>
        </w:numPr>
        <w:pStyle w:val="Compact"/>
      </w:pPr>
      <w:r>
        <w:t xml:space="preserve">☐ Metoder för att testa med representativa användargrupper</w:t>
      </w:r>
    </w:p>
    <w:p>
      <w:pPr>
        <w:numPr>
          <w:ilvl w:val="0"/>
          <w:numId w:val="1005"/>
        </w:numPr>
        <w:pStyle w:val="Compact"/>
      </w:pPr>
      <w:r>
        <w:t xml:space="preserve">☐ Portfolio som visar inkluderande design i praktiken</w:t>
      </w:r>
    </w:p>
    <w:p>
      <w:r>
        <w:pict>
          <v:rect style="width:0;height:1.5pt" o:hralign="center" o:hrstd="t" o:hr="t"/>
        </w:pict>
      </w:r>
    </w:p>
    <w:bookmarkEnd w:id="28"/>
    <w:bookmarkStart w:id="29" w:name="designsystem-och-komponentbibliotek"/>
    <w:p>
      <w:pPr>
        <w:pStyle w:val="Heading2"/>
      </w:pPr>
      <w:r>
        <w:t xml:space="preserve">Designsystem och komponentbibliotek</w:t>
      </w:r>
    </w:p>
    <w:p>
      <w:pPr>
        <w:pStyle w:val="FirstParagraph"/>
      </w:pPr>
      <w:r>
        <w:t xml:space="preserve">Ett välfungerande designsystem minskar utvecklingstiden, säkerställer konsistens, förenklar underhåll och bygger in tillgänglighet från grunden.</w:t>
      </w:r>
    </w:p>
    <w:p>
      <w:pPr>
        <w:numPr>
          <w:ilvl w:val="0"/>
          <w:numId w:val="1006"/>
        </w:numPr>
        <w:pStyle w:val="Compact"/>
      </w:pPr>
      <w:r>
        <w:t xml:space="preserve">☐ Erfarenhet av att utveckla och förvalta designsystem</w:t>
      </w:r>
    </w:p>
    <w:p>
      <w:pPr>
        <w:numPr>
          <w:ilvl w:val="0"/>
          <w:numId w:val="1006"/>
        </w:numPr>
        <w:pStyle w:val="Compact"/>
      </w:pPr>
      <w:r>
        <w:t xml:space="preserve">☐ Kunskap om återanvändbara komponenter och stilguider</w:t>
      </w:r>
    </w:p>
    <w:p>
      <w:pPr>
        <w:numPr>
          <w:ilvl w:val="0"/>
          <w:numId w:val="1006"/>
        </w:numPr>
        <w:pStyle w:val="Compact"/>
      </w:pPr>
      <w:r>
        <w:t xml:space="preserve">☐ Metoder för att säkerställa konsistens över hela systemet</w:t>
      </w:r>
    </w:p>
    <w:p>
      <w:pPr>
        <w:numPr>
          <w:ilvl w:val="0"/>
          <w:numId w:val="1006"/>
        </w:numPr>
        <w:pStyle w:val="Compact"/>
      </w:pPr>
      <w:r>
        <w:t xml:space="preserve">☐ Process för att dokumentera designbeslut och mönster</w:t>
      </w:r>
    </w:p>
    <w:p>
      <w:pPr>
        <w:numPr>
          <w:ilvl w:val="0"/>
          <w:numId w:val="1006"/>
        </w:numPr>
        <w:pStyle w:val="Compact"/>
      </w:pPr>
      <w:r>
        <w:t xml:space="preserve">☐ Portfolio som visar implementerade designsystem</w:t>
      </w:r>
    </w:p>
    <w:p>
      <w:pPr>
        <w:numPr>
          <w:ilvl w:val="0"/>
          <w:numId w:val="1006"/>
        </w:numPr>
        <w:pStyle w:val="Compact"/>
      </w:pPr>
      <w:r>
        <w:t xml:space="preserve">☐ Förståelse för hur designsystem möjliggör skalbarhet</w:t>
      </w:r>
    </w:p>
    <w:p>
      <w:r>
        <w:pict>
          <v:rect style="width:0;height:1.5pt" o:hralign="center" o:hrstd="t" o:hr="t"/>
        </w:pict>
      </w:r>
    </w:p>
    <w:bookmarkEnd w:id="29"/>
    <w:bookmarkStart w:id="30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2.1 (Användbarhet).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2026-01-27T14:47:40Z</dcterms:created>
  <dcterms:modified xsi:type="dcterms:W3CDTF">2026-01-27T14:47:40Z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