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Xbb1fbd76b690b0e897fcfa110c435fd315ec1a8"/>
    <w:p>
      <w:pPr>
        <w:pStyle w:val="Heading1"/>
      </w:pPr>
      <w:r>
        <w:t xml:space="preserve">Checklista: Kvalitetsområden – Regulatoriska krav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specificera krav för hur systemet ska uppfylla lagar, förordningar och branschstandarder.</w:t>
      </w:r>
    </w:p>
    <w:p>
      <w:pPr>
        <w:pStyle w:val="BodyText"/>
      </w:pPr>
      <w:r>
        <w:t xml:space="preserve">För fördjupning, se kapitel 2.5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6" w:name="gdpr-och-personuppgiftshantering"/>
    <w:p>
      <w:pPr>
        <w:pStyle w:val="Heading2"/>
      </w:pPr>
      <w:r>
        <w:t xml:space="preserve">GDPR och personuppgiftshantering</w:t>
      </w:r>
    </w:p>
    <w:bookmarkStart w:id="24" w:name="fas-2-specificera-tillsammans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1"/>
        </w:numPr>
        <w:pStyle w:val="Compact"/>
      </w:pPr>
      <w:r>
        <w:t xml:space="preserve">☐ Vilka personuppgifter hanterar systemet?</w:t>
      </w:r>
    </w:p>
    <w:p>
      <w:pPr>
        <w:numPr>
          <w:ilvl w:val="0"/>
          <w:numId w:val="1001"/>
        </w:numPr>
        <w:pStyle w:val="Compact"/>
      </w:pPr>
      <w:r>
        <w:t xml:space="preserve">☐ Vad är den rättsliga grunden för behandlingen?</w:t>
      </w:r>
    </w:p>
    <w:p>
      <w:pPr>
        <w:numPr>
          <w:ilvl w:val="0"/>
          <w:numId w:val="1001"/>
        </w:numPr>
        <w:pStyle w:val="Compact"/>
      </w:pPr>
      <w:r>
        <w:t xml:space="preserve">☐ Hur länge ska uppgifter sparas?</w:t>
      </w:r>
    </w:p>
    <w:p>
      <w:pPr>
        <w:numPr>
          <w:ilvl w:val="0"/>
          <w:numId w:val="1001"/>
        </w:numPr>
        <w:pStyle w:val="Compact"/>
      </w:pPr>
      <w:r>
        <w:t xml:space="preserve">☐ Behöver vi genomföra en dataskyddskonsekvensanalys (DPIA)?</w:t>
      </w:r>
    </w:p>
    <w:p>
      <w:pPr>
        <w:numPr>
          <w:ilvl w:val="0"/>
          <w:numId w:val="1001"/>
        </w:numPr>
        <w:pStyle w:val="Compact"/>
      </w:pPr>
      <w:r>
        <w:t xml:space="preserve">☐ Vilka tredjeparter får tillgång till personuppgifter?</w:t>
      </w:r>
    </w:p>
    <w:bookmarkEnd w:id="24"/>
    <w:bookmarkStart w:id="25" w:name="fas-3-verifiera-och-mät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2"/>
        </w:numPr>
        <w:pStyle w:val="Compact"/>
      </w:pPr>
      <w:r>
        <w:t xml:space="preserve">☐ Behandlingsregister upprättat enligt GDPR artikel 30</w:t>
      </w:r>
    </w:p>
    <w:p>
      <w:pPr>
        <w:numPr>
          <w:ilvl w:val="0"/>
          <w:numId w:val="1002"/>
        </w:numPr>
        <w:pStyle w:val="Compact"/>
      </w:pPr>
      <w:r>
        <w:t xml:space="preserve">☐ Privacy by Design implementerat</w:t>
      </w:r>
    </w:p>
    <w:p>
      <w:pPr>
        <w:numPr>
          <w:ilvl w:val="0"/>
          <w:numId w:val="1002"/>
        </w:numPr>
        <w:pStyle w:val="Compact"/>
      </w:pPr>
      <w:r>
        <w:t xml:space="preserve">☐ Samtycke inhämtas och dokumenteras där det krävs</w:t>
      </w:r>
    </w:p>
    <w:p>
      <w:pPr>
        <w:numPr>
          <w:ilvl w:val="0"/>
          <w:numId w:val="1002"/>
        </w:numPr>
        <w:pStyle w:val="Compact"/>
      </w:pPr>
      <w:r>
        <w:t xml:space="preserve">☐ Möjlighet för användare att begära ut, rätta och radera sina uppgifter</w:t>
      </w:r>
    </w:p>
    <w:p>
      <w:pPr>
        <w:numPr>
          <w:ilvl w:val="0"/>
          <w:numId w:val="1002"/>
        </w:numPr>
        <w:pStyle w:val="Compact"/>
      </w:pPr>
      <w:r>
        <w:t xml:space="preserve">☐ Dataportabilitet stöds för användares egna uppgifter</w:t>
      </w:r>
    </w:p>
    <w:p>
      <w:pPr>
        <w:numPr>
          <w:ilvl w:val="0"/>
          <w:numId w:val="1002"/>
        </w:numPr>
        <w:pStyle w:val="Compact"/>
      </w:pPr>
      <w:r>
        <w:t xml:space="preserve">☐ Personuppgiftsbiträdesavtal på plats med alla relevanta leverantörer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100% av Data Subject Requests hanterade inom lagstadgad tid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cybersäkerhetslagen-och-nis2"/>
    <w:p>
      <w:pPr>
        <w:pStyle w:val="Heading2"/>
      </w:pPr>
      <w:r>
        <w:t xml:space="preserve">Cybersäkerhetslagen och NIS2</w:t>
      </w:r>
    </w:p>
    <w:bookmarkStart w:id="27" w:name="fas-2-specificera-tillsammans-1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3"/>
        </w:numPr>
        <w:pStyle w:val="Compact"/>
      </w:pPr>
      <w:r>
        <w:t xml:space="preserve">☐ Omfattas verksamheten av Cybersäkerhetslagen?</w:t>
      </w:r>
    </w:p>
    <w:p>
      <w:pPr>
        <w:numPr>
          <w:ilvl w:val="0"/>
          <w:numId w:val="1003"/>
        </w:numPr>
        <w:pStyle w:val="Compact"/>
      </w:pPr>
      <w:r>
        <w:t xml:space="preserve">☐ Vilka risker ska hanteras enligt lagen?</w:t>
      </w:r>
    </w:p>
    <w:p>
      <w:pPr>
        <w:numPr>
          <w:ilvl w:val="0"/>
          <w:numId w:val="1003"/>
        </w:numPr>
        <w:pStyle w:val="Compact"/>
      </w:pPr>
      <w:r>
        <w:t xml:space="preserve">☐ Hur ska incidenter rapporteras (inom 24 timmar)?</w:t>
      </w:r>
    </w:p>
    <w:p>
      <w:pPr>
        <w:numPr>
          <w:ilvl w:val="0"/>
          <w:numId w:val="1003"/>
        </w:numPr>
        <w:pStyle w:val="Compact"/>
      </w:pPr>
      <w:r>
        <w:t xml:space="preserve">☐ Vilka krav ställs på leverantörer i kedjan?</w:t>
      </w:r>
    </w:p>
    <w:bookmarkEnd w:id="27"/>
    <w:bookmarkStart w:id="28" w:name="fas-3-verifiera-och-mät-1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4"/>
        </w:numPr>
        <w:pStyle w:val="Compact"/>
      </w:pPr>
      <w:r>
        <w:t xml:space="preserve">☐ Riskhanteringsprocess dokumenterad</w:t>
      </w:r>
    </w:p>
    <w:p>
      <w:pPr>
        <w:numPr>
          <w:ilvl w:val="0"/>
          <w:numId w:val="1004"/>
        </w:numPr>
        <w:pStyle w:val="Compact"/>
      </w:pPr>
      <w:r>
        <w:t xml:space="preserve">☐ Incidentrapporteringsprocess etablerad</w:t>
      </w:r>
    </w:p>
    <w:p>
      <w:pPr>
        <w:numPr>
          <w:ilvl w:val="0"/>
          <w:numId w:val="1004"/>
        </w:numPr>
        <w:pStyle w:val="Compact"/>
      </w:pPr>
      <w:r>
        <w:t xml:space="preserve">☐ Ledningens ansvar dokumenterat</w:t>
      </w:r>
    </w:p>
    <w:p>
      <w:pPr>
        <w:numPr>
          <w:ilvl w:val="0"/>
          <w:numId w:val="1004"/>
        </w:numPr>
        <w:pStyle w:val="Compact"/>
      </w:pPr>
      <w:r>
        <w:t xml:space="preserve">☐ Supply chain-säkerhet säkerställd</w:t>
      </w:r>
    </w:p>
    <w:p>
      <w:pPr>
        <w:numPr>
          <w:ilvl w:val="0"/>
          <w:numId w:val="1004"/>
        </w:numPr>
        <w:pStyle w:val="Compact"/>
      </w:pPr>
      <w:r>
        <w:t xml:space="preserve">☐ Regelbundna säkerhetsgranskningar genomförda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Incidenter rapporterade inom lagstadgad tid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tillgänglighetskrav"/>
    <w:p>
      <w:pPr>
        <w:pStyle w:val="Heading2"/>
      </w:pPr>
      <w:r>
        <w:t xml:space="preserve">Tillgänglighetskrav</w:t>
      </w:r>
    </w:p>
    <w:bookmarkStart w:id="30" w:name="fas-2-specificera-tillsammans-2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5"/>
        </w:numPr>
        <w:pStyle w:val="Compact"/>
      </w:pPr>
      <w:r>
        <w:t xml:space="preserve">☐ Omfattas tjänsten av tillgänglighetsdirektivet?</w:t>
      </w:r>
    </w:p>
    <w:p>
      <w:pPr>
        <w:numPr>
          <w:ilvl w:val="0"/>
          <w:numId w:val="1005"/>
        </w:numPr>
        <w:pStyle w:val="Compact"/>
      </w:pPr>
      <w:r>
        <w:t xml:space="preserve">☐ Vilken WCAG-nivå ska uppfyllas (AA/AAA)?</w:t>
      </w:r>
    </w:p>
    <w:p>
      <w:pPr>
        <w:numPr>
          <w:ilvl w:val="0"/>
          <w:numId w:val="1005"/>
        </w:numPr>
        <w:pStyle w:val="Compact"/>
      </w:pPr>
      <w:r>
        <w:t xml:space="preserve">☐ Hur ska tillgängligheten testas och verifieras?</w:t>
      </w:r>
    </w:p>
    <w:p>
      <w:pPr>
        <w:numPr>
          <w:ilvl w:val="0"/>
          <w:numId w:val="1005"/>
        </w:numPr>
        <w:pStyle w:val="Compact"/>
      </w:pPr>
      <w:r>
        <w:t xml:space="preserve">☐ Behövs tillgänglighetsdeklaration?</w:t>
      </w:r>
    </w:p>
    <w:bookmarkEnd w:id="30"/>
    <w:bookmarkStart w:id="31" w:name="fas-3-verifiera-och-mät-2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6"/>
        </w:numPr>
        <w:pStyle w:val="Compact"/>
      </w:pPr>
      <w:r>
        <w:t xml:space="preserve">☐ WCAG 2.1 AA-efterlevnad verifierad</w:t>
      </w:r>
    </w:p>
    <w:p>
      <w:pPr>
        <w:numPr>
          <w:ilvl w:val="0"/>
          <w:numId w:val="1006"/>
        </w:numPr>
        <w:pStyle w:val="Compact"/>
      </w:pPr>
      <w:r>
        <w:t xml:space="preserve">☐ Tillgänglighetsdeklaration publicerad (om krav finns)</w:t>
      </w:r>
    </w:p>
    <w:p>
      <w:pPr>
        <w:numPr>
          <w:ilvl w:val="0"/>
          <w:numId w:val="1006"/>
        </w:numPr>
        <w:pStyle w:val="Compact"/>
      </w:pPr>
      <w:r>
        <w:t xml:space="preserve">☐ Regelbunden tillgänglighetstestning etablerad</w:t>
      </w:r>
    </w:p>
    <w:p>
      <w:pPr>
        <w:numPr>
          <w:ilvl w:val="0"/>
          <w:numId w:val="1006"/>
        </w:numPr>
        <w:pStyle w:val="Compact"/>
      </w:pPr>
      <w:r>
        <w:t xml:space="preserve">☐ Process för att hantera tillgänglighetsbrister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0 kritiska tillgänglighetsfel i automatiska tester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branschspecifika-regelverk"/>
    <w:p>
      <w:pPr>
        <w:pStyle w:val="Heading2"/>
      </w:pPr>
      <w:r>
        <w:t xml:space="preserve">Branschspecifika regelverk</w:t>
      </w:r>
    </w:p>
    <w:bookmarkStart w:id="33" w:name="fas-2-specificera-tillsammans-3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7"/>
        </w:numPr>
        <w:pStyle w:val="Compact"/>
      </w:pPr>
      <w:r>
        <w:t xml:space="preserve">☐ Vilka branschspecifika regelverk gäller? (PCI-DSS, MDR, Patientdatalagen, etc.)</w:t>
      </w:r>
    </w:p>
    <w:p>
      <w:pPr>
        <w:numPr>
          <w:ilvl w:val="0"/>
          <w:numId w:val="1007"/>
        </w:numPr>
        <w:pStyle w:val="Compact"/>
      </w:pPr>
      <w:r>
        <w:t xml:space="preserve">☐ Finns certifieringskrav?</w:t>
      </w:r>
    </w:p>
    <w:p>
      <w:pPr>
        <w:numPr>
          <w:ilvl w:val="0"/>
          <w:numId w:val="1007"/>
        </w:numPr>
        <w:pStyle w:val="Compact"/>
      </w:pPr>
      <w:r>
        <w:t xml:space="preserve">☐ Hur genomförs revisioner?</w:t>
      </w:r>
    </w:p>
    <w:p>
      <w:pPr>
        <w:numPr>
          <w:ilvl w:val="0"/>
          <w:numId w:val="1007"/>
        </w:numPr>
        <w:pStyle w:val="Compact"/>
      </w:pPr>
      <w:r>
        <w:t xml:space="preserve">☐ Vilken dokumentation krävs för tillsynsmyndigheter?</w:t>
      </w:r>
    </w:p>
    <w:bookmarkEnd w:id="33"/>
    <w:bookmarkStart w:id="34" w:name="fas-3-verifiera-och-mät-3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8"/>
        </w:numPr>
        <w:pStyle w:val="Compact"/>
      </w:pPr>
      <w:r>
        <w:t xml:space="preserve">☐ Alla tillämpliga branschregelverk kartlagda</w:t>
      </w:r>
    </w:p>
    <w:p>
      <w:pPr>
        <w:numPr>
          <w:ilvl w:val="0"/>
          <w:numId w:val="1008"/>
        </w:numPr>
        <w:pStyle w:val="Compact"/>
      </w:pPr>
      <w:r>
        <w:t xml:space="preserve">☐ Compliance-mappning från krav till implementation</w:t>
      </w:r>
    </w:p>
    <w:p>
      <w:pPr>
        <w:numPr>
          <w:ilvl w:val="0"/>
          <w:numId w:val="1008"/>
        </w:numPr>
        <w:pStyle w:val="Compact"/>
      </w:pPr>
      <w:r>
        <w:t xml:space="preserve">☐ Revisionsberedskap etablerad</w:t>
      </w:r>
    </w:p>
    <w:p>
      <w:pPr>
        <w:numPr>
          <w:ilvl w:val="0"/>
          <w:numId w:val="1008"/>
        </w:numPr>
        <w:pStyle w:val="Compact"/>
      </w:pPr>
      <w:r>
        <w:t xml:space="preserve">☐ Erforderliga certifieringar uppnådda eller planerade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Godkänd revision utan kritiska avvikelser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arkivering-och-databevarande"/>
    <w:p>
      <w:pPr>
        <w:pStyle w:val="Heading2"/>
      </w:pPr>
      <w:r>
        <w:t xml:space="preserve">Arkivering och databevarande</w:t>
      </w:r>
    </w:p>
    <w:bookmarkStart w:id="36" w:name="fas-2-specificera-tillsammans-4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9"/>
        </w:numPr>
        <w:pStyle w:val="Compact"/>
      </w:pPr>
      <w:r>
        <w:t xml:space="preserve">☐ Vilken data måste bevaras enligt lag?</w:t>
      </w:r>
    </w:p>
    <w:p>
      <w:pPr>
        <w:numPr>
          <w:ilvl w:val="0"/>
          <w:numId w:val="1009"/>
        </w:numPr>
        <w:pStyle w:val="Compact"/>
      </w:pPr>
      <w:r>
        <w:t xml:space="preserve">☐ Hur länge ska olika typer av data sparas?</w:t>
      </w:r>
    </w:p>
    <w:p>
      <w:pPr>
        <w:numPr>
          <w:ilvl w:val="0"/>
          <w:numId w:val="1009"/>
        </w:numPr>
        <w:pStyle w:val="Compact"/>
      </w:pPr>
      <w:r>
        <w:t xml:space="preserve">☐ Hur hanteras gallring av data som inte längre behövs?</w:t>
      </w:r>
    </w:p>
    <w:p>
      <w:pPr>
        <w:numPr>
          <w:ilvl w:val="0"/>
          <w:numId w:val="1009"/>
        </w:numPr>
        <w:pStyle w:val="Compact"/>
      </w:pPr>
      <w:r>
        <w:t xml:space="preserve">☐ Vilka format krävs för långtidsarkivering?</w:t>
      </w:r>
    </w:p>
    <w:bookmarkEnd w:id="36"/>
    <w:bookmarkStart w:id="37" w:name="fas-3-verifiera-och-mät-4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0"/>
        </w:numPr>
        <w:pStyle w:val="Compact"/>
      </w:pPr>
      <w:r>
        <w:t xml:space="preserve">☐ Bevaranderegler dokumenterade per datatyp</w:t>
      </w:r>
    </w:p>
    <w:p>
      <w:pPr>
        <w:numPr>
          <w:ilvl w:val="0"/>
          <w:numId w:val="1010"/>
        </w:numPr>
        <w:pStyle w:val="Compact"/>
      </w:pPr>
      <w:r>
        <w:t xml:space="preserve">☐ Automatisk gallring av data efter bevarandetiden</w:t>
      </w:r>
    </w:p>
    <w:p>
      <w:pPr>
        <w:numPr>
          <w:ilvl w:val="0"/>
          <w:numId w:val="1010"/>
        </w:numPr>
        <w:pStyle w:val="Compact"/>
      </w:pPr>
      <w:r>
        <w:t xml:space="preserve">☐ Arkivformat som säkerställer långsiktig läsbarhet</w:t>
      </w:r>
    </w:p>
    <w:p>
      <w:pPr>
        <w:numPr>
          <w:ilvl w:val="0"/>
          <w:numId w:val="1010"/>
        </w:numPr>
        <w:pStyle w:val="Compact"/>
      </w:pPr>
      <w:r>
        <w:t xml:space="preserve">☐ Skydd av arkiverad data mot manipulation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100% av arkiveringsregler följda vid revision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dokumentation-och-spårbarhet"/>
    <w:p>
      <w:pPr>
        <w:pStyle w:val="Heading2"/>
      </w:pPr>
      <w:r>
        <w:t xml:space="preserve">Dokumentation och spårbarhet</w:t>
      </w:r>
    </w:p>
    <w:bookmarkStart w:id="39" w:name="fas-2-specificera-tillsammans-5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1"/>
        </w:numPr>
        <w:pStyle w:val="Compact"/>
      </w:pPr>
      <w:r>
        <w:t xml:space="preserve">☐ Vilken dokumentation krävs för revisorer och tillsynsmyndigheter?</w:t>
      </w:r>
    </w:p>
    <w:p>
      <w:pPr>
        <w:numPr>
          <w:ilvl w:val="0"/>
          <w:numId w:val="1011"/>
        </w:numPr>
        <w:pStyle w:val="Compact"/>
      </w:pPr>
      <w:r>
        <w:t xml:space="preserve">☐ Hur detaljerad spårbarhet behövs?</w:t>
      </w:r>
    </w:p>
    <w:p>
      <w:pPr>
        <w:numPr>
          <w:ilvl w:val="0"/>
          <w:numId w:val="1011"/>
        </w:numPr>
        <w:pStyle w:val="Compact"/>
      </w:pPr>
      <w:r>
        <w:t xml:space="preserve">☐ Vem ansvarar för att hålla compliance-dokumentation aktuell?</w:t>
      </w:r>
    </w:p>
    <w:bookmarkEnd w:id="39"/>
    <w:bookmarkStart w:id="40" w:name="fas-3-verifiera-och-mät-5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2"/>
        </w:numPr>
        <w:pStyle w:val="Compact"/>
      </w:pPr>
      <w:r>
        <w:t xml:space="preserve">☐ Compliance-mappning uppdaterad och tillgänglig</w:t>
      </w:r>
    </w:p>
    <w:p>
      <w:pPr>
        <w:numPr>
          <w:ilvl w:val="0"/>
          <w:numId w:val="1012"/>
        </w:numPr>
        <w:pStyle w:val="Compact"/>
      </w:pPr>
      <w:r>
        <w:t xml:space="preserve">☐ Spårbarhet från lagkrav till teknisk implementation</w:t>
      </w:r>
    </w:p>
    <w:p>
      <w:pPr>
        <w:numPr>
          <w:ilvl w:val="0"/>
          <w:numId w:val="1012"/>
        </w:numPr>
        <w:pStyle w:val="Compact"/>
      </w:pPr>
      <w:r>
        <w:t xml:space="preserve">☐ Regelbunden granskning av compliance-status</w:t>
      </w:r>
    </w:p>
    <w:p>
      <w:pPr>
        <w:numPr>
          <w:ilvl w:val="0"/>
          <w:numId w:val="1012"/>
        </w:numPr>
        <w:pStyle w:val="Compact"/>
      </w:pPr>
      <w:r>
        <w:t xml:space="preserve">☐ Process för bevakning av regelförändringar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Compliance-dokumentation uppdaterad inom X dagar efter förändring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2.5 (Regulatoriska krav).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